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B2" w:rsidRPr="000749A0" w:rsidRDefault="00FA7FB2" w:rsidP="00FA7FB2">
      <w:pPr>
        <w:jc w:val="center"/>
        <w:rPr>
          <w:b/>
          <w:sz w:val="28"/>
          <w:szCs w:val="28"/>
          <w:lang w:val="az-Latn-AZ"/>
        </w:rPr>
      </w:pPr>
    </w:p>
    <w:p w:rsidR="00FA7FB2" w:rsidRPr="00014D03" w:rsidRDefault="00FA7FB2" w:rsidP="00FA7FB2">
      <w:pPr>
        <w:jc w:val="center"/>
        <w:rPr>
          <w:b/>
          <w:sz w:val="28"/>
          <w:szCs w:val="28"/>
          <w:lang w:val="az-Latn-AZ"/>
        </w:rPr>
      </w:pPr>
    </w:p>
    <w:p w:rsidR="00FA7FB2" w:rsidRDefault="00FA7FB2" w:rsidP="00FA7FB2">
      <w:pPr>
        <w:jc w:val="center"/>
        <w:rPr>
          <w:b/>
          <w:sz w:val="28"/>
          <w:szCs w:val="28"/>
          <w:lang w:val="az-Latn-AZ"/>
        </w:rPr>
      </w:pPr>
    </w:p>
    <w:p w:rsidR="00FA7FB2" w:rsidRDefault="00FA7FB2" w:rsidP="00FA7FB2">
      <w:pPr>
        <w:jc w:val="center"/>
        <w:rPr>
          <w:b/>
          <w:sz w:val="28"/>
          <w:szCs w:val="28"/>
          <w:lang w:val="az-Latn-AZ"/>
        </w:rPr>
      </w:pPr>
    </w:p>
    <w:p w:rsidR="00FA7FB2" w:rsidRDefault="00FA7FB2" w:rsidP="00FA7FB2">
      <w:pPr>
        <w:jc w:val="center"/>
        <w:rPr>
          <w:b/>
          <w:sz w:val="28"/>
          <w:szCs w:val="28"/>
          <w:lang w:val="az-Latn-AZ"/>
        </w:rPr>
      </w:pPr>
    </w:p>
    <w:p w:rsidR="00FA7FB2" w:rsidRPr="00000057" w:rsidRDefault="00FA7FB2" w:rsidP="00FA7FB2">
      <w:pPr>
        <w:jc w:val="center"/>
        <w:rPr>
          <w:b/>
          <w:sz w:val="28"/>
          <w:szCs w:val="28"/>
          <w:lang w:val="az-Latn-AZ"/>
        </w:rPr>
      </w:pPr>
    </w:p>
    <w:p w:rsidR="00FA7FB2" w:rsidRDefault="00FA7FB2" w:rsidP="00FA7FB2">
      <w:pPr>
        <w:pStyle w:val="a6"/>
        <w:jc w:val="center"/>
        <w:rPr>
          <w:rFonts w:ascii="Times New Roman" w:hAnsi="Times New Roman"/>
          <w:b/>
          <w:sz w:val="32"/>
          <w:szCs w:val="36"/>
          <w:lang w:val="az-Latn-AZ"/>
        </w:rPr>
      </w:pPr>
      <w:r w:rsidRPr="00650834">
        <w:rPr>
          <w:rFonts w:ascii="Times New Roman" w:hAnsi="Times New Roman"/>
          <w:b/>
          <w:sz w:val="32"/>
          <w:szCs w:val="36"/>
          <w:lang w:val="az-Latn-AZ"/>
        </w:rPr>
        <w:t>“Siyasi partiyalar haqqında” Azərbaycan Respublikasının Qanununda dəyişiklik edilməsi barədə</w:t>
      </w:r>
    </w:p>
    <w:p w:rsidR="00FA7FB2" w:rsidRDefault="00FA7FB2" w:rsidP="00FA7FB2">
      <w:pPr>
        <w:pStyle w:val="a6"/>
        <w:jc w:val="center"/>
        <w:rPr>
          <w:rFonts w:ascii="Times New Roman" w:hAnsi="Times New Roman"/>
          <w:b/>
          <w:sz w:val="32"/>
          <w:szCs w:val="36"/>
          <w:lang w:val="az-Latn-AZ"/>
        </w:rPr>
      </w:pPr>
    </w:p>
    <w:p w:rsidR="00FA7FB2" w:rsidRPr="00F44B06" w:rsidRDefault="00FA7FB2" w:rsidP="00FA7FB2">
      <w:pPr>
        <w:pStyle w:val="a6"/>
        <w:jc w:val="center"/>
        <w:rPr>
          <w:rFonts w:ascii="Times New Roman" w:hAnsi="Times New Roman"/>
          <w:b/>
          <w:sz w:val="32"/>
          <w:szCs w:val="36"/>
          <w:lang w:val="az-Latn-AZ"/>
        </w:rPr>
      </w:pPr>
      <w:r w:rsidRPr="00F44B06">
        <w:rPr>
          <w:rFonts w:ascii="Times New Roman" w:hAnsi="Times New Roman"/>
          <w:b/>
          <w:sz w:val="44"/>
          <w:szCs w:val="44"/>
          <w:lang w:val="az-Latn-AZ"/>
        </w:rPr>
        <w:t>AZƏRBAYCAN RESPUBLİKASININ QANUNU</w:t>
      </w:r>
    </w:p>
    <w:p w:rsidR="00FA7FB2" w:rsidRPr="008F36E5" w:rsidRDefault="00FA7FB2" w:rsidP="00FA7FB2">
      <w:pPr>
        <w:rPr>
          <w:b/>
          <w:sz w:val="28"/>
          <w:szCs w:val="28"/>
          <w:lang w:val="az-Latn-AZ"/>
        </w:rPr>
      </w:pPr>
    </w:p>
    <w:p w:rsidR="00FA7FB2" w:rsidRPr="00650834" w:rsidRDefault="00FA7FB2" w:rsidP="00FA7FB2">
      <w:pPr>
        <w:ind w:firstLine="708"/>
        <w:jc w:val="both"/>
        <w:rPr>
          <w:rFonts w:eastAsia="Calibri"/>
          <w:sz w:val="28"/>
          <w:szCs w:val="32"/>
          <w:lang w:val="az-Latn-AZ" w:eastAsia="en-US"/>
        </w:rPr>
      </w:pPr>
      <w:r w:rsidRPr="00650834">
        <w:rPr>
          <w:rFonts w:eastAsia="Calibri"/>
          <w:sz w:val="28"/>
          <w:szCs w:val="32"/>
          <w:lang w:val="az-Latn-AZ" w:eastAsia="en-US"/>
        </w:rPr>
        <w:t xml:space="preserve">Azərbaycan Respublikasının Milli Məclisi Azərbaycan Respublikası Konstitusiyasının 94-cü maddəsinin I hissəsinin 8-ci və 10-cu bəndlərini rəhbər tutaraq, </w:t>
      </w:r>
      <w:r w:rsidRPr="00650834">
        <w:rPr>
          <w:rFonts w:eastAsia="Calibri"/>
          <w:sz w:val="28"/>
          <w:szCs w:val="28"/>
          <w:lang w:val="az-Latn-AZ" w:eastAsia="en-US"/>
        </w:rPr>
        <w:t>“Hərbi vəziyyət haqqında” Azərbaycan Respublikasının 2017-ci il 14 fevral tarixli 530-VQ nömrəli Qanununun tətbiqi ilə əlaqədar</w:t>
      </w:r>
      <w:r w:rsidRPr="00650834">
        <w:rPr>
          <w:rFonts w:ascii="Calibri" w:eastAsia="Calibri" w:hAnsi="Calibri"/>
          <w:sz w:val="28"/>
          <w:szCs w:val="32"/>
          <w:lang w:val="az-Latn-AZ" w:eastAsia="en-US"/>
        </w:rPr>
        <w:t xml:space="preserve"> </w:t>
      </w:r>
      <w:r w:rsidRPr="00650834">
        <w:rPr>
          <w:rFonts w:eastAsia="Calibri"/>
          <w:b/>
          <w:sz w:val="28"/>
          <w:szCs w:val="32"/>
          <w:lang w:val="az-Latn-AZ" w:eastAsia="en-US"/>
        </w:rPr>
        <w:t>qərara alır:</w:t>
      </w:r>
    </w:p>
    <w:p w:rsidR="00FA7FB2" w:rsidRPr="00650834" w:rsidRDefault="00FA7FB2" w:rsidP="00FA7FB2">
      <w:pPr>
        <w:jc w:val="both"/>
        <w:rPr>
          <w:rFonts w:eastAsia="Calibri"/>
          <w:sz w:val="28"/>
          <w:szCs w:val="32"/>
          <w:lang w:val="az-Latn-AZ" w:eastAsia="en-US"/>
        </w:rPr>
      </w:pPr>
    </w:p>
    <w:p w:rsidR="00FA7FB2" w:rsidRPr="00650834" w:rsidRDefault="00FA7FB2" w:rsidP="00FA7FB2">
      <w:pPr>
        <w:jc w:val="both"/>
        <w:rPr>
          <w:rFonts w:eastAsia="Calibri"/>
          <w:sz w:val="28"/>
          <w:szCs w:val="32"/>
          <w:lang w:val="az-Latn-AZ" w:eastAsia="ja-JP"/>
        </w:rPr>
      </w:pPr>
      <w:r w:rsidRPr="00650834">
        <w:rPr>
          <w:rFonts w:eastAsia="Calibri"/>
          <w:sz w:val="28"/>
          <w:szCs w:val="32"/>
          <w:lang w:val="az-Latn-AZ" w:eastAsia="en-US"/>
        </w:rPr>
        <w:tab/>
        <w:t>“Siyasi partiyalar haqqında” Azərbaycan Respublikası</w:t>
      </w:r>
      <w:r>
        <w:rPr>
          <w:rFonts w:eastAsia="Calibri"/>
          <w:sz w:val="28"/>
          <w:szCs w:val="32"/>
          <w:lang w:val="az-Latn-AZ" w:eastAsia="en-US"/>
        </w:rPr>
        <w:t>nın</w:t>
      </w:r>
      <w:r w:rsidRPr="00650834">
        <w:rPr>
          <w:rFonts w:eastAsia="Calibri"/>
          <w:sz w:val="28"/>
          <w:szCs w:val="32"/>
          <w:lang w:val="az-Latn-AZ" w:eastAsia="en-US"/>
        </w:rPr>
        <w:t xml:space="preserve"> Qanununa (Azərbaycan Respublikası Ali Sovetinin Məlumatı, 1992, № 11, maddə 387, № 12, maddə 454; Azərbaycan Respublikasının Qanunvericilik Toplusu, 1997, № 3, maddə 226; 2001, № 11, maddə 683; 2002, № 8, maddə 463; 2004, № 2, maddə 57, № 5, maddə 321, № 8, maddə 598; 2005, № 4, maddə 278, № 6, maddə 464; 2006, № 3, maddə 225; 2007, № 11, maddələr 1049, 1053; 2010, № 4, maddə 276; 2012, № 5, maddə 414; 2014, № 11, maddə 1332; 2015, № 4, maddə 366; 2017, № 5, maddə 684)</w:t>
      </w:r>
      <w:r w:rsidRPr="00650834">
        <w:rPr>
          <w:rFonts w:eastAsia="Calibri"/>
          <w:sz w:val="28"/>
          <w:szCs w:val="32"/>
          <w:lang w:val="az-Latn-AZ" w:eastAsia="ja-JP"/>
        </w:rPr>
        <w:t xml:space="preserve"> aşağıdakı məzmunda 16.4-1-ci maddə əlavə edilsin:</w:t>
      </w:r>
    </w:p>
    <w:p w:rsidR="00FA7FB2" w:rsidRPr="00650834" w:rsidRDefault="00FA7FB2" w:rsidP="00FA7FB2">
      <w:pPr>
        <w:jc w:val="both"/>
        <w:rPr>
          <w:rFonts w:eastAsia="Calibri"/>
          <w:sz w:val="28"/>
          <w:szCs w:val="32"/>
          <w:lang w:val="az-Latn-AZ" w:eastAsia="en-US"/>
        </w:rPr>
      </w:pPr>
    </w:p>
    <w:p w:rsidR="00FA7FB2" w:rsidRPr="00650834" w:rsidRDefault="00FA7FB2" w:rsidP="00FA7FB2">
      <w:pPr>
        <w:ind w:firstLine="708"/>
        <w:jc w:val="both"/>
        <w:rPr>
          <w:b/>
          <w:szCs w:val="28"/>
          <w:lang w:val="az-Latn-AZ"/>
        </w:rPr>
      </w:pPr>
      <w:r w:rsidRPr="00650834">
        <w:rPr>
          <w:sz w:val="28"/>
          <w:szCs w:val="32"/>
          <w:lang w:val="az-Latn-AZ"/>
        </w:rPr>
        <w:t>“</w:t>
      </w:r>
      <w:r w:rsidRPr="00650834">
        <w:rPr>
          <w:sz w:val="28"/>
          <w:szCs w:val="28"/>
          <w:lang w:val="az-Latn-AZ"/>
        </w:rPr>
        <w:t xml:space="preserve">16.4-1. Hərbi və ya fövqəladə vəziyyətin elan </w:t>
      </w:r>
      <w:proofErr w:type="spellStart"/>
      <w:r w:rsidRPr="00650834">
        <w:rPr>
          <w:sz w:val="28"/>
          <w:szCs w:val="28"/>
          <w:lang w:val="az-Latn-AZ"/>
        </w:rPr>
        <w:t>edilməsinə</w:t>
      </w:r>
      <w:proofErr w:type="spellEnd"/>
      <w:r w:rsidRPr="00650834">
        <w:rPr>
          <w:sz w:val="28"/>
          <w:szCs w:val="28"/>
          <w:lang w:val="az-Latn-AZ"/>
        </w:rPr>
        <w:t xml:space="preserve"> səbəb olmuş halların aradan </w:t>
      </w:r>
      <w:proofErr w:type="spellStart"/>
      <w:r w:rsidRPr="00650834">
        <w:rPr>
          <w:sz w:val="28"/>
          <w:szCs w:val="28"/>
          <w:lang w:val="az-Latn-AZ"/>
        </w:rPr>
        <w:t>qaldırılmasına</w:t>
      </w:r>
      <w:proofErr w:type="spellEnd"/>
      <w:r w:rsidRPr="00650834">
        <w:rPr>
          <w:sz w:val="28"/>
          <w:szCs w:val="28"/>
          <w:lang w:val="az-Latn-AZ"/>
        </w:rPr>
        <w:t xml:space="preserve"> və müəyyən edilmiş tədbirlərin həyata </w:t>
      </w:r>
      <w:proofErr w:type="spellStart"/>
      <w:r w:rsidRPr="00650834">
        <w:rPr>
          <w:sz w:val="28"/>
          <w:szCs w:val="28"/>
          <w:lang w:val="az-Latn-AZ"/>
        </w:rPr>
        <w:t>keçirilməsinə</w:t>
      </w:r>
      <w:proofErr w:type="spellEnd"/>
      <w:r w:rsidRPr="00650834">
        <w:rPr>
          <w:sz w:val="28"/>
          <w:szCs w:val="28"/>
          <w:lang w:val="az-Latn-AZ"/>
        </w:rPr>
        <w:t xml:space="preserve"> mane olan siyasi partiyanın fəaliyyəti hərbi və ya fövqəladə vəziyyət başa çatanadək dayandırıla bilər.”.</w:t>
      </w:r>
    </w:p>
    <w:p w:rsidR="00FA7FB2" w:rsidRDefault="00FA7FB2" w:rsidP="00FA7FB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FA7FB2" w:rsidRDefault="00FA7FB2" w:rsidP="00FA7FB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FA7FB2" w:rsidRDefault="00FA7FB2" w:rsidP="00FA7FB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FA7FB2" w:rsidRDefault="00FA7FB2" w:rsidP="00FA7FB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FA7FB2" w:rsidRPr="006F6C9E" w:rsidRDefault="00FA7FB2" w:rsidP="00FA7FB2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FA7FB2" w:rsidRDefault="00FA7FB2" w:rsidP="00FA7FB2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FA7FB2" w:rsidRDefault="00FA7FB2" w:rsidP="00FA7FB2">
      <w:pPr>
        <w:jc w:val="both"/>
        <w:rPr>
          <w:b/>
          <w:sz w:val="28"/>
          <w:szCs w:val="28"/>
          <w:lang w:val="az-Latn-AZ"/>
        </w:rPr>
      </w:pPr>
    </w:p>
    <w:p w:rsidR="00FA7FB2" w:rsidRDefault="00FA7FB2" w:rsidP="00FA7FB2">
      <w:pPr>
        <w:jc w:val="both"/>
        <w:rPr>
          <w:b/>
          <w:sz w:val="28"/>
          <w:szCs w:val="28"/>
          <w:lang w:val="az-Latn-AZ"/>
        </w:rPr>
      </w:pPr>
    </w:p>
    <w:p w:rsidR="00FA7FB2" w:rsidRPr="00171838" w:rsidRDefault="00FA7FB2" w:rsidP="00FA7FB2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may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FA7FB2" w:rsidRPr="009E6DB7" w:rsidRDefault="00FA7FB2" w:rsidP="00FA7FB2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1099-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AF0F64" w:rsidRDefault="00AF0F64">
      <w:bookmarkStart w:id="0" w:name="_GoBack"/>
      <w:bookmarkEnd w:id="0"/>
    </w:p>
    <w:sectPr w:rsidR="00AF0F64" w:rsidSect="00AF7A08">
      <w:headerReference w:type="even" r:id="rId5"/>
      <w:headerReference w:type="default" r:id="rId6"/>
      <w:pgSz w:w="11906" w:h="16838"/>
      <w:pgMar w:top="1134" w:right="1077" w:bottom="567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FA7FB2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FA7FB2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FA7FB2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FA7FB2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B2"/>
    <w:rsid w:val="00AF0F64"/>
    <w:rsid w:val="00FA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7F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7F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FA7FB2"/>
  </w:style>
  <w:style w:type="paragraph" w:styleId="a6">
    <w:name w:val="No Spacing"/>
    <w:uiPriority w:val="1"/>
    <w:qFormat/>
    <w:rsid w:val="00FA7F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7F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7F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FA7FB2"/>
  </w:style>
  <w:style w:type="paragraph" w:styleId="a6">
    <w:name w:val="No Spacing"/>
    <w:uiPriority w:val="1"/>
    <w:qFormat/>
    <w:rsid w:val="00FA7F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2018-07-19T07:06:00Z</dcterms:created>
  <dcterms:modified xsi:type="dcterms:W3CDTF">2018-07-19T07:06:00Z</dcterms:modified>
</cp:coreProperties>
</file>