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E7" w:rsidRDefault="00CB06E7" w:rsidP="00CB06E7">
      <w:pPr>
        <w:tabs>
          <w:tab w:val="left" w:pos="567"/>
        </w:tabs>
        <w:jc w:val="center"/>
        <w:rPr>
          <w:rFonts w:ascii="Times New Roman" w:hAnsi="Times New Roman" w:cs="Times New Roman"/>
          <w:b/>
          <w:bCs/>
          <w:sz w:val="32"/>
          <w:lang w:val="az-Latn-AZ"/>
        </w:rPr>
      </w:pPr>
    </w:p>
    <w:p w:rsidR="00CB06E7" w:rsidRDefault="00CB06E7" w:rsidP="00CB06E7">
      <w:pPr>
        <w:tabs>
          <w:tab w:val="left" w:pos="567"/>
        </w:tabs>
        <w:jc w:val="center"/>
        <w:rPr>
          <w:rFonts w:ascii="Times New Roman" w:hAnsi="Times New Roman" w:cs="Times New Roman"/>
          <w:b/>
          <w:bCs/>
          <w:sz w:val="32"/>
          <w:lang w:val="az-Latn-AZ"/>
        </w:rPr>
      </w:pPr>
    </w:p>
    <w:p w:rsidR="00CB06E7" w:rsidRDefault="00CB06E7" w:rsidP="00CB06E7">
      <w:pPr>
        <w:tabs>
          <w:tab w:val="left" w:pos="567"/>
        </w:tabs>
        <w:jc w:val="center"/>
        <w:rPr>
          <w:rFonts w:ascii="Times New Roman" w:hAnsi="Times New Roman" w:cs="Times New Roman"/>
          <w:b/>
          <w:bCs/>
          <w:sz w:val="32"/>
          <w:lang w:val="az-Latn-AZ"/>
        </w:rPr>
      </w:pPr>
    </w:p>
    <w:p w:rsidR="00CB06E7" w:rsidRDefault="00CB06E7" w:rsidP="00CB06E7">
      <w:pPr>
        <w:tabs>
          <w:tab w:val="left" w:pos="567"/>
        </w:tabs>
        <w:jc w:val="center"/>
        <w:rPr>
          <w:rFonts w:ascii="Times New Roman" w:hAnsi="Times New Roman" w:cs="Times New Roman"/>
          <w:b/>
          <w:bCs/>
          <w:sz w:val="32"/>
          <w:lang w:val="az-Latn-AZ"/>
        </w:rPr>
      </w:pPr>
    </w:p>
    <w:p w:rsidR="00CB06E7" w:rsidRDefault="00CB06E7" w:rsidP="00CB06E7">
      <w:pPr>
        <w:tabs>
          <w:tab w:val="left" w:pos="567"/>
        </w:tabs>
        <w:jc w:val="center"/>
        <w:rPr>
          <w:rFonts w:ascii="Times New Roman" w:hAnsi="Times New Roman" w:cs="Times New Roman"/>
          <w:b/>
          <w:bCs/>
          <w:sz w:val="32"/>
          <w:lang w:val="az-Latn-AZ"/>
        </w:rPr>
      </w:pPr>
    </w:p>
    <w:p w:rsidR="00CB06E7" w:rsidRDefault="00CB06E7" w:rsidP="00CB06E7">
      <w:pPr>
        <w:tabs>
          <w:tab w:val="left" w:pos="567"/>
        </w:tabs>
        <w:jc w:val="center"/>
        <w:rPr>
          <w:rFonts w:ascii="Times New Roman" w:hAnsi="Times New Roman" w:cs="Times New Roman"/>
          <w:b/>
          <w:bCs/>
          <w:sz w:val="32"/>
          <w:lang w:val="az-Latn-AZ"/>
        </w:rPr>
      </w:pPr>
    </w:p>
    <w:p w:rsidR="00CB06E7" w:rsidRPr="006165BA" w:rsidRDefault="00CB06E7" w:rsidP="00CB06E7">
      <w:pPr>
        <w:tabs>
          <w:tab w:val="left" w:pos="567"/>
        </w:tabs>
        <w:jc w:val="center"/>
        <w:rPr>
          <w:rFonts w:ascii="Times New Roman" w:hAnsi="Times New Roman" w:cs="Times New Roman"/>
          <w:b/>
          <w:bCs/>
          <w:sz w:val="32"/>
          <w:lang w:val="az-Latn-AZ"/>
        </w:rPr>
      </w:pPr>
      <w:r w:rsidRPr="006165BA">
        <w:rPr>
          <w:rFonts w:ascii="Times New Roman" w:hAnsi="Times New Roman" w:cs="Times New Roman"/>
          <w:b/>
          <w:bCs/>
          <w:sz w:val="32"/>
          <w:lang w:val="az-Latn-AZ"/>
        </w:rPr>
        <w:t xml:space="preserve">Azərbaycan Respublikasının İnzibati Xətalar Məcəlləsində </w:t>
      </w:r>
    </w:p>
    <w:p w:rsidR="00CB06E7" w:rsidRDefault="00CB06E7" w:rsidP="00CB06E7">
      <w:pPr>
        <w:tabs>
          <w:tab w:val="left" w:pos="567"/>
        </w:tabs>
        <w:jc w:val="center"/>
        <w:rPr>
          <w:rFonts w:ascii="Times New Roman" w:hAnsi="Times New Roman" w:cs="Times New Roman"/>
          <w:b/>
          <w:bCs/>
          <w:sz w:val="32"/>
          <w:lang w:val="az-Latn-AZ"/>
        </w:rPr>
      </w:pPr>
      <w:r w:rsidRPr="006165BA">
        <w:rPr>
          <w:rFonts w:ascii="Times New Roman" w:hAnsi="Times New Roman" w:cs="Times New Roman"/>
          <w:b/>
          <w:bCs/>
          <w:sz w:val="32"/>
          <w:lang w:val="az-Latn-AZ"/>
        </w:rPr>
        <w:t>dəyişikliklər edilməsi haqqında</w:t>
      </w:r>
    </w:p>
    <w:p w:rsidR="00CB06E7" w:rsidRDefault="00CB06E7" w:rsidP="00CB06E7">
      <w:pPr>
        <w:tabs>
          <w:tab w:val="left" w:pos="567"/>
        </w:tabs>
        <w:jc w:val="center"/>
        <w:rPr>
          <w:rFonts w:ascii="Times New Roman" w:hAnsi="Times New Roman" w:cs="Times New Roman"/>
          <w:b/>
          <w:bCs/>
          <w:sz w:val="32"/>
          <w:lang w:val="az-Latn-AZ"/>
        </w:rPr>
      </w:pPr>
    </w:p>
    <w:p w:rsidR="00CB06E7" w:rsidRDefault="00CB06E7" w:rsidP="00CB06E7">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CB06E7" w:rsidRPr="006165BA" w:rsidRDefault="00CB06E7" w:rsidP="00CB06E7">
      <w:pPr>
        <w:tabs>
          <w:tab w:val="left" w:pos="567"/>
        </w:tabs>
        <w:jc w:val="center"/>
        <w:rPr>
          <w:rFonts w:ascii="Times New Roman" w:hAnsi="Times New Roman" w:cs="Times New Roman"/>
          <w:sz w:val="32"/>
          <w:lang w:val="az-Latn-AZ"/>
        </w:rPr>
      </w:pPr>
    </w:p>
    <w:p w:rsidR="00CB06E7" w:rsidRPr="00460997" w:rsidRDefault="00CB06E7" w:rsidP="00CB06E7">
      <w:pPr>
        <w:tabs>
          <w:tab w:val="left" w:pos="567"/>
        </w:tabs>
        <w:rPr>
          <w:rFonts w:ascii="Times New Roman" w:hAnsi="Times New Roman" w:cs="Times New Roman"/>
          <w:sz w:val="18"/>
          <w:szCs w:val="16"/>
          <w:lang w:val="az-Latn-AZ"/>
        </w:rPr>
      </w:pPr>
      <w:r w:rsidRPr="00460997">
        <w:rPr>
          <w:rFonts w:ascii="Times New Roman" w:hAnsi="Times New Roman" w:cs="Times New Roman"/>
          <w:sz w:val="28"/>
          <w:lang w:val="az-Latn-AZ"/>
        </w:rPr>
        <w:t> </w:t>
      </w:r>
    </w:p>
    <w:p w:rsidR="00CB06E7" w:rsidRDefault="00CB06E7" w:rsidP="00CB06E7">
      <w:pPr>
        <w:tabs>
          <w:tab w:val="left" w:pos="567"/>
        </w:tabs>
        <w:ind w:firstLine="567"/>
        <w:jc w:val="both"/>
        <w:rPr>
          <w:rFonts w:ascii="Times New Roman" w:hAnsi="Times New Roman" w:cs="Times New Roman"/>
          <w:b/>
          <w:bCs/>
          <w:sz w:val="28"/>
          <w:lang w:val="az-Latn-AZ"/>
        </w:rPr>
      </w:pPr>
      <w:r w:rsidRPr="00460997">
        <w:rPr>
          <w:rFonts w:ascii="Times New Roman" w:hAnsi="Times New Roman" w:cs="Times New Roman"/>
          <w:sz w:val="28"/>
          <w:lang w:val="az-Latn-AZ"/>
        </w:rPr>
        <w:t xml:space="preserve">Azərbaycan Respublikasının Milli Məclisi Azərbaycan Respublikası Konstitusiyasının 94-cü maddəsinin I hissəsinin 17-ci bəndini rəhbər tutaraq </w:t>
      </w:r>
      <w:r w:rsidRPr="00460997">
        <w:rPr>
          <w:rFonts w:ascii="Times New Roman" w:hAnsi="Times New Roman" w:cs="Times New Roman"/>
          <w:b/>
          <w:bCs/>
          <w:sz w:val="28"/>
          <w:lang w:val="az-Latn-AZ"/>
        </w:rPr>
        <w:t>qərara alır:</w:t>
      </w:r>
    </w:p>
    <w:p w:rsidR="00CB06E7" w:rsidRPr="00460997" w:rsidRDefault="00CB06E7" w:rsidP="00CB06E7">
      <w:pPr>
        <w:tabs>
          <w:tab w:val="left" w:pos="567"/>
        </w:tabs>
        <w:ind w:firstLine="567"/>
        <w:jc w:val="both"/>
        <w:rPr>
          <w:rFonts w:ascii="Times New Roman" w:hAnsi="Times New Roman" w:cs="Times New Roman"/>
          <w:sz w:val="28"/>
          <w:lang w:val="az-Latn-AZ"/>
        </w:rPr>
      </w:pPr>
    </w:p>
    <w:p w:rsidR="00CB06E7" w:rsidRPr="00460997" w:rsidRDefault="00CB06E7" w:rsidP="00CB06E7">
      <w:pPr>
        <w:tabs>
          <w:tab w:val="left" w:pos="567"/>
        </w:tabs>
        <w:ind w:firstLine="567"/>
        <w:jc w:val="both"/>
        <w:rPr>
          <w:rFonts w:ascii="Times New Roman" w:hAnsi="Times New Roman" w:cs="Times New Roman"/>
          <w:sz w:val="28"/>
          <w:lang w:val="az-Latn-AZ"/>
        </w:rPr>
      </w:pPr>
      <w:r w:rsidRPr="00460997">
        <w:rPr>
          <w:rFonts w:ascii="Times New Roman" w:hAnsi="Times New Roman" w:cs="Times New Roman"/>
          <w:sz w:val="28"/>
          <w:lang w:val="az-Latn-AZ"/>
        </w:rPr>
        <w:t>Azərbaycan Respublikasının İnzibati Xətalar Məcəlləsin</w:t>
      </w:r>
      <w:r w:rsidRPr="00BF1FF9">
        <w:rPr>
          <w:rStyle w:val="a3"/>
          <w:rFonts w:ascii="Times New Roman" w:hAnsi="Times New Roman" w:cs="Times New Roman"/>
          <w:color w:val="000000"/>
          <w:sz w:val="28"/>
          <w:u w:val="none"/>
          <w:lang w:val="az-Latn-AZ"/>
        </w:rPr>
        <w:t xml:space="preserve">də </w:t>
      </w:r>
      <w:r w:rsidRPr="006165BA">
        <w:rPr>
          <w:rFonts w:ascii="Times New Roman" w:hAnsi="Times New Roman" w:cs="Times New Roman"/>
          <w:sz w:val="28"/>
          <w:szCs w:val="28"/>
          <w:lang w:val="az-Latn-AZ"/>
        </w:rPr>
        <w:t>(Azərbaycan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maddələr 2214, 2217, 2220, 2233, 2237, 2240, 2253, 2256, 2266; 2018, № 1, maddə 19; Azərbaycan Respublikasının 2017-ci il 29 dekabr tarixli 969-VQD nömrəli, 2018-ci il 1 fevral tarixli 981-VQD və 984-VQD nömrəli, 13 fevral tarixli 1002-VQD nömrəli</w:t>
      </w:r>
      <w:r>
        <w:rPr>
          <w:rFonts w:ascii="Times New Roman" w:hAnsi="Times New Roman" w:cs="Times New Roman"/>
          <w:sz w:val="28"/>
          <w:szCs w:val="28"/>
          <w:lang w:val="az-Latn-AZ"/>
        </w:rPr>
        <w:t>, 6 mart tarixli 1035-VQD və      1038-VQD nömrəli</w:t>
      </w:r>
      <w:r w:rsidRPr="006165BA">
        <w:rPr>
          <w:rFonts w:ascii="Times New Roman" w:hAnsi="Times New Roman" w:cs="Times New Roman"/>
          <w:sz w:val="28"/>
          <w:szCs w:val="28"/>
          <w:lang w:val="az-Latn-AZ"/>
        </w:rPr>
        <w:t xml:space="preserve"> qanunları)</w:t>
      </w:r>
      <w:r w:rsidRPr="00BF1FF9">
        <w:rPr>
          <w:rFonts w:ascii="Times New Roman" w:hAnsi="Times New Roman" w:cs="Times New Roman"/>
          <w:sz w:val="28"/>
          <w:lang w:val="az-Latn-AZ"/>
        </w:rPr>
        <w:t xml:space="preserve"> aşağıdakı dəyişikliklər edilsin:</w:t>
      </w:r>
    </w:p>
    <w:p w:rsidR="00CB06E7" w:rsidRPr="00460997" w:rsidRDefault="00CB06E7" w:rsidP="00CB06E7">
      <w:pPr>
        <w:pStyle w:val="a4"/>
        <w:numPr>
          <w:ilvl w:val="0"/>
          <w:numId w:val="1"/>
        </w:numPr>
        <w:tabs>
          <w:tab w:val="left" w:pos="567"/>
        </w:tabs>
        <w:ind w:left="0" w:firstLine="567"/>
        <w:jc w:val="both"/>
        <w:rPr>
          <w:rFonts w:ascii="Times New Roman" w:hAnsi="Times New Roman" w:cs="Times New Roman"/>
          <w:sz w:val="28"/>
          <w:lang w:val="az-Latn-AZ"/>
        </w:rPr>
      </w:pPr>
      <w:r w:rsidRPr="00460997">
        <w:rPr>
          <w:rFonts w:ascii="Times New Roman" w:hAnsi="Times New Roman" w:cs="Times New Roman"/>
          <w:sz w:val="28"/>
          <w:lang w:val="az-Latn-AZ"/>
        </w:rPr>
        <w:t>64.2-ci maddə aşağıdakı redaksiyada verilsin:</w:t>
      </w:r>
    </w:p>
    <w:p w:rsidR="00CB06E7" w:rsidRPr="00460997" w:rsidRDefault="00CB06E7" w:rsidP="00CB06E7">
      <w:pPr>
        <w:tabs>
          <w:tab w:val="left" w:pos="567"/>
        </w:tabs>
        <w:ind w:firstLine="567"/>
        <w:jc w:val="both"/>
        <w:rPr>
          <w:rFonts w:ascii="Times New Roman" w:hAnsi="Times New Roman" w:cs="Times New Roman"/>
          <w:spacing w:val="-6"/>
          <w:sz w:val="28"/>
          <w:lang w:val="az-Latn-AZ"/>
        </w:rPr>
      </w:pPr>
      <w:r w:rsidRPr="00460997">
        <w:rPr>
          <w:rFonts w:ascii="Times New Roman" w:hAnsi="Times New Roman" w:cs="Times New Roman"/>
          <w:spacing w:val="-6"/>
          <w:sz w:val="28"/>
          <w:lang w:val="az-Latn-AZ"/>
        </w:rPr>
        <w:t xml:space="preserve">“64.2. Qanunlarla, digər hüquqi aktlarla və ya hüquqi şəxsin təsis sənədləri ilə müəyyən edilmiş səlahiyyətli şəxslər, yaxud müvafiq qaydada səlahiyyət verilmiş, əsas iş yeri həmin hüquqi şəxs olan işçilər və ya vəkillər </w:t>
      </w:r>
      <w:r w:rsidRPr="00460997">
        <w:rPr>
          <w:rFonts w:ascii="Times New Roman" w:eastAsia="Times New Roman" w:hAnsi="Times New Roman" w:cs="Times New Roman"/>
          <w:bCs/>
          <w:spacing w:val="-6"/>
          <w:sz w:val="28"/>
          <w:lang w:val="az-Latn-AZ"/>
        </w:rPr>
        <w:t>hüquqi şəxsin nümayəndələri hesab</w:t>
      </w:r>
      <w:r w:rsidRPr="00460997">
        <w:rPr>
          <w:rFonts w:ascii="Times New Roman" w:hAnsi="Times New Roman" w:cs="Times New Roman"/>
          <w:spacing w:val="-6"/>
          <w:sz w:val="28"/>
          <w:lang w:val="az-Latn-AZ"/>
        </w:rPr>
        <w:t xml:space="preserve"> edilirlər.”.</w:t>
      </w:r>
    </w:p>
    <w:p w:rsidR="00CB06E7" w:rsidRPr="00460997" w:rsidRDefault="00CB06E7" w:rsidP="00CB06E7">
      <w:pPr>
        <w:pStyle w:val="a4"/>
        <w:numPr>
          <w:ilvl w:val="0"/>
          <w:numId w:val="1"/>
        </w:numPr>
        <w:tabs>
          <w:tab w:val="left" w:pos="567"/>
        </w:tabs>
        <w:ind w:left="0" w:firstLine="567"/>
        <w:jc w:val="both"/>
        <w:rPr>
          <w:rFonts w:ascii="Times New Roman" w:hAnsi="Times New Roman" w:cs="Times New Roman"/>
          <w:sz w:val="28"/>
          <w:lang w:val="az-Latn-AZ"/>
        </w:rPr>
      </w:pPr>
      <w:r w:rsidRPr="00460997">
        <w:rPr>
          <w:rFonts w:ascii="Times New Roman" w:hAnsi="Times New Roman" w:cs="Times New Roman"/>
          <w:sz w:val="28"/>
          <w:lang w:val="az-Latn-AZ"/>
        </w:rPr>
        <w:t>65.1-ci maddədə “icraata” sözü “icraatda” sözü ilə</w:t>
      </w:r>
      <w:r>
        <w:rPr>
          <w:rFonts w:ascii="Times New Roman" w:hAnsi="Times New Roman" w:cs="Times New Roman"/>
          <w:sz w:val="28"/>
          <w:lang w:val="az-Latn-AZ"/>
        </w:rPr>
        <w:t>, “buraxılır”</w:t>
      </w:r>
      <w:r w:rsidRPr="00460997">
        <w:rPr>
          <w:rFonts w:ascii="Times New Roman" w:hAnsi="Times New Roman" w:cs="Times New Roman"/>
          <w:sz w:val="28"/>
          <w:lang w:val="az-Latn-AZ"/>
        </w:rPr>
        <w:t xml:space="preserve"> sözü “iştirak edə bilər” sözləri ilə əvəz edilsin.</w:t>
      </w:r>
    </w:p>
    <w:p w:rsidR="00CB06E7" w:rsidRPr="00460997" w:rsidRDefault="00CB06E7" w:rsidP="00CB06E7">
      <w:pPr>
        <w:pStyle w:val="a4"/>
        <w:widowControl/>
        <w:numPr>
          <w:ilvl w:val="0"/>
          <w:numId w:val="1"/>
        </w:numPr>
        <w:tabs>
          <w:tab w:val="left" w:pos="567"/>
          <w:tab w:val="left" w:pos="1134"/>
        </w:tabs>
        <w:ind w:left="0" w:firstLine="567"/>
        <w:jc w:val="both"/>
        <w:rPr>
          <w:rFonts w:ascii="Times New Roman" w:hAnsi="Times New Roman" w:cs="Times New Roman"/>
          <w:sz w:val="28"/>
          <w:lang w:val="az-Latn-AZ"/>
        </w:rPr>
      </w:pPr>
      <w:r w:rsidRPr="00460997">
        <w:rPr>
          <w:rFonts w:ascii="Times New Roman" w:hAnsi="Times New Roman" w:cs="Times New Roman"/>
          <w:sz w:val="28"/>
          <w:lang w:val="az-Latn-AZ"/>
        </w:rPr>
        <w:t>Aşağıdakı məzmunda 65.1-1-ci maddə əlavə edilsin:</w:t>
      </w:r>
    </w:p>
    <w:p w:rsidR="00CB06E7" w:rsidRPr="00460997" w:rsidRDefault="00CB06E7" w:rsidP="00CB06E7">
      <w:pPr>
        <w:widowControl/>
        <w:tabs>
          <w:tab w:val="left" w:pos="567"/>
          <w:tab w:val="left" w:pos="1134"/>
        </w:tabs>
        <w:ind w:firstLine="567"/>
        <w:jc w:val="both"/>
        <w:rPr>
          <w:rFonts w:ascii="Times New Roman" w:hAnsi="Times New Roman" w:cs="Times New Roman"/>
          <w:sz w:val="28"/>
          <w:lang w:val="az-Latn-AZ"/>
        </w:rPr>
      </w:pPr>
      <w:r w:rsidRPr="00460997">
        <w:rPr>
          <w:rFonts w:ascii="Times New Roman" w:hAnsi="Times New Roman" w:cs="Times New Roman"/>
          <w:sz w:val="28"/>
          <w:lang w:val="az-Latn-AZ"/>
        </w:rPr>
        <w:t xml:space="preserve">“65.1-1. Məhkəmənin baxdığı inzibati xəta haqqında iş üzrə </w:t>
      </w:r>
      <w:r w:rsidRPr="00460997">
        <w:rPr>
          <w:rFonts w:ascii="Times New Roman" w:eastAsia="Times New Roman" w:hAnsi="Times New Roman" w:cs="Times New Roman"/>
          <w:sz w:val="28"/>
          <w:lang w:val="az-Latn-AZ"/>
        </w:rPr>
        <w:t>icraata fiziki şəxsin müdafiəçisi qismində yalnız vəkil, zərər çəkmiş fiziki şəxsin nümayəndəsi qismində isə onun yaxın qohumu və ya vəkil buraxılır.”.</w:t>
      </w:r>
    </w:p>
    <w:p w:rsidR="00CB06E7" w:rsidRPr="00460997" w:rsidRDefault="00CB06E7" w:rsidP="00CB06E7">
      <w:pPr>
        <w:pStyle w:val="a4"/>
        <w:widowControl/>
        <w:numPr>
          <w:ilvl w:val="0"/>
          <w:numId w:val="1"/>
        </w:numPr>
        <w:tabs>
          <w:tab w:val="left" w:pos="567"/>
          <w:tab w:val="left" w:pos="1134"/>
        </w:tabs>
        <w:ind w:left="0" w:firstLine="567"/>
        <w:jc w:val="both"/>
        <w:rPr>
          <w:rFonts w:ascii="Times New Roman" w:hAnsi="Times New Roman" w:cs="Times New Roman"/>
          <w:sz w:val="28"/>
          <w:lang w:val="az-Latn-AZ"/>
        </w:rPr>
      </w:pPr>
      <w:r w:rsidRPr="00460997">
        <w:rPr>
          <w:rFonts w:ascii="Times New Roman" w:hAnsi="Times New Roman" w:cs="Times New Roman"/>
          <w:sz w:val="28"/>
          <w:lang w:val="az-Latn-AZ"/>
        </w:rPr>
        <w:t>65.2-ci maddədə “Müdafiəçi” sözü “Bu Məcəllənin 65.1-1-ci maddəsində nəzərdə tutulan hallar istisna olmaqla, müdafiəçi” sözləri ilə əvəz edilsin.</w:t>
      </w:r>
    </w:p>
    <w:p w:rsidR="00CB06E7" w:rsidRPr="00460997" w:rsidRDefault="00CB06E7" w:rsidP="00CB06E7">
      <w:pPr>
        <w:pStyle w:val="a4"/>
        <w:widowControl/>
        <w:numPr>
          <w:ilvl w:val="0"/>
          <w:numId w:val="1"/>
        </w:numPr>
        <w:tabs>
          <w:tab w:val="left" w:pos="567"/>
          <w:tab w:val="left" w:pos="1134"/>
        </w:tabs>
        <w:ind w:left="0" w:firstLine="567"/>
        <w:jc w:val="both"/>
        <w:rPr>
          <w:rFonts w:ascii="Times New Roman" w:hAnsi="Times New Roman" w:cs="Times New Roman"/>
          <w:sz w:val="28"/>
          <w:lang w:val="az-Latn-AZ"/>
        </w:rPr>
      </w:pPr>
      <w:r w:rsidRPr="00460997">
        <w:rPr>
          <w:rFonts w:ascii="Times New Roman" w:hAnsi="Times New Roman" w:cs="Times New Roman"/>
          <w:sz w:val="28"/>
          <w:lang w:val="az-Latn-AZ"/>
        </w:rPr>
        <w:lastRenderedPageBreak/>
        <w:t>67-ci maddənin “Qeyd” hissəsi aşağıdakı redaksiyada verilsin</w:t>
      </w:r>
      <w:r w:rsidRPr="00460997">
        <w:rPr>
          <w:rFonts w:ascii="Times New Roman" w:eastAsia="Times New Roman" w:hAnsi="Times New Roman" w:cs="Times New Roman"/>
          <w:sz w:val="28"/>
          <w:lang w:val="az-Latn-AZ"/>
        </w:rPr>
        <w:t>:</w:t>
      </w:r>
    </w:p>
    <w:p w:rsidR="00CB06E7" w:rsidRPr="00460997" w:rsidRDefault="00CB06E7" w:rsidP="00CB06E7">
      <w:pPr>
        <w:widowControl/>
        <w:tabs>
          <w:tab w:val="left" w:pos="567"/>
        </w:tabs>
        <w:ind w:firstLine="567"/>
        <w:jc w:val="both"/>
        <w:rPr>
          <w:rFonts w:ascii="Times New Roman" w:hAnsi="Times New Roman" w:cs="Times New Roman"/>
          <w:b/>
          <w:sz w:val="28"/>
          <w:lang w:val="az-Latn-AZ"/>
        </w:rPr>
      </w:pPr>
      <w:r w:rsidRPr="00460997">
        <w:rPr>
          <w:rFonts w:ascii="Times New Roman" w:hAnsi="Times New Roman" w:cs="Times New Roman"/>
          <w:iCs/>
          <w:sz w:val="28"/>
          <w:lang w:val="az-Latn-AZ"/>
        </w:rPr>
        <w:t>“Qeyd: Bu Məcəllədə “qohum” dedikdə, babaya və nənəyə qədər əcdadları ümumi olan şəxslər, ər-arvadın yaxın qohumları, babanın, nənənin, valideynin, övladlığa götürənin, doğma və ögey qardaş və bacının, uşağın, övladlığa götürülənin və ya nəvənin əri (arvadı) və ya onların yaxın qohumları nəzərdə tutulur. Yaxın qohumlara babalar, nənələr, valideynlər, övladlığa götürənlər, doğma və ögey qardaşlar və bacılar, ər-arvad, uşaqlar, övladlığa götürülənlər, nəvələr aiddirlər</w:t>
      </w:r>
      <w:r w:rsidRPr="00460997">
        <w:rPr>
          <w:rFonts w:ascii="Times New Roman" w:hAnsi="Times New Roman" w:cs="Times New Roman"/>
          <w:sz w:val="28"/>
          <w:lang w:val="az-Latn-AZ"/>
        </w:rPr>
        <w:t>.”.</w:t>
      </w:r>
      <w:r w:rsidRPr="00460997">
        <w:rPr>
          <w:rFonts w:ascii="Times New Roman" w:hAnsi="Times New Roman" w:cs="Times New Roman"/>
          <w:b/>
          <w:sz w:val="28"/>
          <w:lang w:val="az-Latn-AZ"/>
        </w:rPr>
        <w:tab/>
        <w:t xml:space="preserve">    </w:t>
      </w:r>
    </w:p>
    <w:p w:rsidR="00CB06E7" w:rsidRPr="00460997" w:rsidRDefault="00CB06E7" w:rsidP="00CB06E7">
      <w:pPr>
        <w:tabs>
          <w:tab w:val="left" w:pos="567"/>
          <w:tab w:val="left" w:pos="2940"/>
        </w:tabs>
        <w:ind w:firstLine="720"/>
        <w:jc w:val="center"/>
        <w:rPr>
          <w:rFonts w:ascii="Times New Roman" w:hAnsi="Times New Roman" w:cs="Times New Roman"/>
          <w:b/>
          <w:sz w:val="28"/>
          <w:lang w:val="az-Latn-AZ"/>
        </w:rPr>
      </w:pPr>
    </w:p>
    <w:p w:rsidR="00CB06E7" w:rsidRDefault="00CB06E7" w:rsidP="00CB06E7">
      <w:pPr>
        <w:tabs>
          <w:tab w:val="left" w:pos="567"/>
          <w:tab w:val="left" w:pos="2940"/>
        </w:tabs>
        <w:ind w:firstLine="720"/>
        <w:jc w:val="center"/>
        <w:rPr>
          <w:rFonts w:ascii="Times New Roman" w:hAnsi="Times New Roman" w:cs="Times New Roman"/>
          <w:b/>
          <w:sz w:val="28"/>
          <w:lang w:val="az-Latn-AZ"/>
        </w:rPr>
      </w:pPr>
    </w:p>
    <w:p w:rsidR="00CB06E7" w:rsidRDefault="00CB06E7" w:rsidP="00CB06E7">
      <w:pPr>
        <w:tabs>
          <w:tab w:val="left" w:pos="567"/>
          <w:tab w:val="left" w:pos="2940"/>
        </w:tabs>
        <w:ind w:firstLine="720"/>
        <w:jc w:val="center"/>
        <w:rPr>
          <w:rFonts w:ascii="Times New Roman" w:hAnsi="Times New Roman" w:cs="Times New Roman"/>
          <w:b/>
          <w:sz w:val="28"/>
          <w:lang w:val="az-Latn-AZ"/>
        </w:rPr>
      </w:pPr>
    </w:p>
    <w:p w:rsidR="00CB06E7" w:rsidRDefault="00CB06E7" w:rsidP="00CB06E7">
      <w:pPr>
        <w:tabs>
          <w:tab w:val="left" w:pos="567"/>
          <w:tab w:val="left" w:pos="2940"/>
        </w:tabs>
        <w:ind w:firstLine="720"/>
        <w:jc w:val="center"/>
        <w:rPr>
          <w:rFonts w:ascii="Times New Roman" w:hAnsi="Times New Roman" w:cs="Times New Roman"/>
          <w:b/>
          <w:sz w:val="28"/>
          <w:lang w:val="az-Latn-AZ"/>
        </w:rPr>
      </w:pPr>
    </w:p>
    <w:p w:rsidR="00CB06E7" w:rsidRPr="00460997" w:rsidRDefault="00CB06E7" w:rsidP="00CB06E7">
      <w:pPr>
        <w:tabs>
          <w:tab w:val="left" w:pos="567"/>
          <w:tab w:val="left" w:pos="2940"/>
        </w:tabs>
        <w:ind w:firstLine="720"/>
        <w:jc w:val="center"/>
        <w:rPr>
          <w:rFonts w:ascii="Times New Roman" w:hAnsi="Times New Roman" w:cs="Times New Roman"/>
          <w:b/>
          <w:sz w:val="28"/>
          <w:lang w:val="az-Latn-AZ"/>
        </w:rPr>
      </w:pPr>
    </w:p>
    <w:p w:rsidR="00CB06E7" w:rsidRPr="00460997" w:rsidRDefault="00CB06E7" w:rsidP="00CB06E7">
      <w:pPr>
        <w:tabs>
          <w:tab w:val="left" w:pos="567"/>
          <w:tab w:val="left" w:pos="2940"/>
        </w:tabs>
        <w:ind w:left="4536"/>
        <w:jc w:val="center"/>
        <w:rPr>
          <w:rFonts w:ascii="Times New Roman" w:hAnsi="Times New Roman" w:cs="Times New Roman"/>
          <w:b/>
          <w:sz w:val="28"/>
          <w:lang w:val="az-Latn-AZ"/>
        </w:rPr>
      </w:pPr>
      <w:r>
        <w:rPr>
          <w:rFonts w:ascii="Times New Roman" w:hAnsi="Times New Roman" w:cs="Times New Roman"/>
          <w:b/>
          <w:sz w:val="28"/>
          <w:lang w:val="az-Latn-AZ"/>
        </w:rPr>
        <w:t xml:space="preserve">    </w:t>
      </w:r>
      <w:r w:rsidRPr="00460997">
        <w:rPr>
          <w:rFonts w:ascii="Times New Roman" w:hAnsi="Times New Roman" w:cs="Times New Roman"/>
          <w:b/>
          <w:sz w:val="28"/>
          <w:lang w:val="az-Latn-AZ"/>
        </w:rPr>
        <w:t>İlham Əliyev</w:t>
      </w:r>
    </w:p>
    <w:p w:rsidR="00CB06E7" w:rsidRPr="00460997" w:rsidRDefault="00CB06E7" w:rsidP="00CB06E7">
      <w:pPr>
        <w:tabs>
          <w:tab w:val="left" w:pos="567"/>
          <w:tab w:val="left" w:pos="2940"/>
        </w:tabs>
        <w:ind w:left="4536"/>
        <w:jc w:val="center"/>
        <w:rPr>
          <w:rFonts w:ascii="Times New Roman" w:hAnsi="Times New Roman" w:cs="Times New Roman"/>
          <w:b/>
          <w:sz w:val="28"/>
          <w:lang w:val="az-Latn-AZ"/>
        </w:rPr>
      </w:pPr>
      <w:r w:rsidRPr="00460997">
        <w:rPr>
          <w:rFonts w:ascii="Times New Roman" w:hAnsi="Times New Roman" w:cs="Times New Roman"/>
          <w:b/>
          <w:sz w:val="28"/>
          <w:lang w:val="az-Latn-AZ"/>
        </w:rPr>
        <w:t>Azərbaycan Respublikasının Prezidenti</w:t>
      </w:r>
    </w:p>
    <w:p w:rsidR="00CB06E7" w:rsidRDefault="00CB06E7" w:rsidP="00CB06E7">
      <w:pPr>
        <w:tabs>
          <w:tab w:val="left" w:pos="567"/>
          <w:tab w:val="left" w:pos="2940"/>
        </w:tabs>
        <w:ind w:firstLine="720"/>
        <w:jc w:val="right"/>
        <w:rPr>
          <w:rFonts w:ascii="Times New Roman" w:hAnsi="Times New Roman" w:cs="Times New Roman"/>
          <w:b/>
          <w:sz w:val="28"/>
          <w:lang w:val="az-Latn-AZ"/>
        </w:rPr>
      </w:pPr>
    </w:p>
    <w:p w:rsidR="00CB06E7" w:rsidRPr="00460997" w:rsidRDefault="00CB06E7" w:rsidP="00CB06E7">
      <w:pPr>
        <w:tabs>
          <w:tab w:val="left" w:pos="567"/>
          <w:tab w:val="left" w:pos="2940"/>
        </w:tabs>
        <w:ind w:firstLine="720"/>
        <w:jc w:val="right"/>
        <w:rPr>
          <w:rFonts w:ascii="Times New Roman" w:hAnsi="Times New Roman" w:cs="Times New Roman"/>
          <w:b/>
          <w:sz w:val="28"/>
          <w:lang w:val="az-Latn-AZ"/>
        </w:rPr>
      </w:pPr>
    </w:p>
    <w:p w:rsidR="00CB06E7" w:rsidRPr="00460997" w:rsidRDefault="00CB06E7" w:rsidP="00CB06E7">
      <w:pPr>
        <w:tabs>
          <w:tab w:val="left" w:pos="567"/>
          <w:tab w:val="left" w:pos="2940"/>
        </w:tabs>
        <w:rPr>
          <w:rFonts w:ascii="Times New Roman" w:hAnsi="Times New Roman" w:cs="Times New Roman"/>
          <w:sz w:val="28"/>
          <w:lang w:val="az-Latn-AZ"/>
        </w:rPr>
      </w:pPr>
      <w:r w:rsidRPr="00460997">
        <w:rPr>
          <w:rFonts w:ascii="Times New Roman" w:hAnsi="Times New Roman" w:cs="Times New Roman"/>
          <w:sz w:val="28"/>
          <w:lang w:val="az-Latn-AZ"/>
        </w:rPr>
        <w:t xml:space="preserve">Bakı şəhəri, </w:t>
      </w:r>
      <w:r>
        <w:rPr>
          <w:rFonts w:ascii="Times New Roman" w:hAnsi="Times New Roman" w:cs="Times New Roman"/>
          <w:sz w:val="28"/>
          <w:lang w:val="az-Latn-AZ"/>
        </w:rPr>
        <w:t xml:space="preserve">1 may </w:t>
      </w:r>
      <w:r w:rsidRPr="00460997">
        <w:rPr>
          <w:rFonts w:ascii="Times New Roman" w:hAnsi="Times New Roman" w:cs="Times New Roman"/>
          <w:sz w:val="28"/>
          <w:lang w:val="az-Latn-AZ"/>
        </w:rPr>
        <w:t>2018-ci il</w:t>
      </w:r>
    </w:p>
    <w:p w:rsidR="00CB06E7" w:rsidRPr="00460997" w:rsidRDefault="00CB06E7" w:rsidP="00CB06E7">
      <w:pPr>
        <w:tabs>
          <w:tab w:val="left" w:pos="567"/>
          <w:tab w:val="left" w:pos="2940"/>
        </w:tabs>
        <w:rPr>
          <w:rFonts w:ascii="Times New Roman" w:hAnsi="Times New Roman" w:cs="Times New Roman"/>
          <w:sz w:val="28"/>
          <w:lang w:val="az-Latn-AZ"/>
        </w:rPr>
      </w:pPr>
      <w:r>
        <w:rPr>
          <w:rFonts w:ascii="Times New Roman" w:hAnsi="Times New Roman" w:cs="Times New Roman"/>
          <w:sz w:val="28"/>
          <w:lang w:val="az-Latn-AZ"/>
        </w:rPr>
        <w:t>№ 1110-VQD</w:t>
      </w:r>
    </w:p>
    <w:p w:rsidR="00CB06E7" w:rsidRPr="00460997" w:rsidRDefault="00CB06E7" w:rsidP="00CB06E7">
      <w:pPr>
        <w:rPr>
          <w:rFonts w:ascii="Times New Roman" w:hAnsi="Times New Roman" w:cs="Times New Roman"/>
          <w:sz w:val="28"/>
        </w:rPr>
      </w:pPr>
    </w:p>
    <w:p w:rsidR="00AF0F64" w:rsidRDefault="00AF0F64">
      <w:bookmarkStart w:id="0" w:name="_GoBack"/>
      <w:bookmarkEnd w:id="0"/>
    </w:p>
    <w:sectPr w:rsidR="00AF0F64" w:rsidSect="006165BA">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A" w:rsidRDefault="00CB06E7">
    <w:pPr>
      <w:pStyle w:val="a5"/>
      <w:jc w:val="right"/>
    </w:pPr>
    <w:r>
      <w:fldChar w:fldCharType="begin"/>
    </w:r>
    <w:r>
      <w:instrText xml:space="preserve"> PAGE   \* MERGEFORMAT </w:instrText>
    </w:r>
    <w:r>
      <w:fldChar w:fldCharType="separate"/>
    </w:r>
    <w:r>
      <w:rPr>
        <w:noProof/>
      </w:rPr>
      <w:t>2</w:t>
    </w:r>
    <w:r>
      <w:rPr>
        <w:noProof/>
      </w:rPr>
      <w:fldChar w:fldCharType="end"/>
    </w:r>
  </w:p>
  <w:p w:rsidR="006165BA" w:rsidRDefault="00CB06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138F"/>
    <w:multiLevelType w:val="hybridMultilevel"/>
    <w:tmpl w:val="35403B7E"/>
    <w:lvl w:ilvl="0" w:tplc="B07875D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E7"/>
    <w:rsid w:val="00AF0F64"/>
    <w:rsid w:val="00CB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E7"/>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06E7"/>
    <w:rPr>
      <w:color w:val="0066CC"/>
      <w:u w:val="single"/>
    </w:rPr>
  </w:style>
  <w:style w:type="paragraph" w:styleId="a4">
    <w:name w:val="List Paragraph"/>
    <w:basedOn w:val="a"/>
    <w:uiPriority w:val="34"/>
    <w:qFormat/>
    <w:rsid w:val="00CB06E7"/>
    <w:pPr>
      <w:ind w:left="720"/>
      <w:contextualSpacing/>
    </w:pPr>
  </w:style>
  <w:style w:type="paragraph" w:styleId="a5">
    <w:name w:val="header"/>
    <w:basedOn w:val="a"/>
    <w:link w:val="a6"/>
    <w:uiPriority w:val="99"/>
    <w:unhideWhenUsed/>
    <w:rsid w:val="00CB06E7"/>
    <w:pPr>
      <w:tabs>
        <w:tab w:val="center" w:pos="4680"/>
        <w:tab w:val="right" w:pos="9360"/>
      </w:tabs>
    </w:pPr>
  </w:style>
  <w:style w:type="character" w:customStyle="1" w:styleId="a6">
    <w:name w:val="Верхний колонтитул Знак"/>
    <w:basedOn w:val="a0"/>
    <w:link w:val="a5"/>
    <w:uiPriority w:val="99"/>
    <w:rsid w:val="00CB06E7"/>
    <w:rPr>
      <w:rFonts w:ascii="Arial Unicode MS" w:eastAsia="Arial Unicode MS" w:hAnsi="Arial Unicode MS" w:cs="Arial Unicode MS"/>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E7"/>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06E7"/>
    <w:rPr>
      <w:color w:val="0066CC"/>
      <w:u w:val="single"/>
    </w:rPr>
  </w:style>
  <w:style w:type="paragraph" w:styleId="a4">
    <w:name w:val="List Paragraph"/>
    <w:basedOn w:val="a"/>
    <w:uiPriority w:val="34"/>
    <w:qFormat/>
    <w:rsid w:val="00CB06E7"/>
    <w:pPr>
      <w:ind w:left="720"/>
      <w:contextualSpacing/>
    </w:pPr>
  </w:style>
  <w:style w:type="paragraph" w:styleId="a5">
    <w:name w:val="header"/>
    <w:basedOn w:val="a"/>
    <w:link w:val="a6"/>
    <w:uiPriority w:val="99"/>
    <w:unhideWhenUsed/>
    <w:rsid w:val="00CB06E7"/>
    <w:pPr>
      <w:tabs>
        <w:tab w:val="center" w:pos="4680"/>
        <w:tab w:val="right" w:pos="9360"/>
      </w:tabs>
    </w:pPr>
  </w:style>
  <w:style w:type="character" w:customStyle="1" w:styleId="a6">
    <w:name w:val="Верхний колонтитул Знак"/>
    <w:basedOn w:val="a0"/>
    <w:link w:val="a5"/>
    <w:uiPriority w:val="99"/>
    <w:rsid w:val="00CB06E7"/>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2018-05-23T11:29:00Z</dcterms:created>
  <dcterms:modified xsi:type="dcterms:W3CDTF">2018-05-23T11:29:00Z</dcterms:modified>
</cp:coreProperties>
</file>