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C" w:rsidRPr="00083273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Pr="00083273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Pr="00083273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Pr="00083273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Pr="00083273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A22ABC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721CBD">
        <w:rPr>
          <w:b/>
          <w:bCs/>
          <w:color w:val="000000"/>
          <w:sz w:val="32"/>
          <w:szCs w:val="32"/>
          <w:lang w:val="az-Latn-AZ"/>
        </w:rPr>
        <w:t>“Qiymətli kağızlar bazarı haqqında” Azərbaycan Respublikasının Qanununda dəyişikliklər edilməsi barədə</w:t>
      </w:r>
    </w:p>
    <w:p w:rsidR="00A22ABC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A22ABC" w:rsidRPr="001C0AE8" w:rsidRDefault="00A22ABC" w:rsidP="00A22ABC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C0AE8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A22ABC" w:rsidRPr="00721CBD" w:rsidRDefault="00A22ABC" w:rsidP="00A22ABC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>Azərbaycan Respublikasının Milli Məclisi Azərbaycan Respublikası Konstitusiyasının 94-cü maddəsinin I hissəsinin 11-ci bəndini rəhbər tutaraq, “</w:t>
      </w:r>
      <w:hyperlink r:id="rId5" w:tgtFrame="_blank" w:tooltip="15 may 2015-ci il tarixli 1284-IVQ nömrəli Azərbaycan Respublikasının Qanunu " w:history="1">
        <w:r w:rsidRPr="00721CBD">
          <w:rPr>
            <w:sz w:val="28"/>
            <w:szCs w:val="28"/>
            <w:lang w:val="az-Latn-AZ"/>
          </w:rPr>
          <w:t>Qiymətli kağızlar bazarı haqqında</w:t>
        </w:r>
      </w:hyperlink>
      <w:r w:rsidRPr="00721CBD">
        <w:rPr>
          <w:sz w:val="28"/>
          <w:szCs w:val="28"/>
          <w:lang w:val="az-Latn-AZ"/>
        </w:rPr>
        <w:t xml:space="preserve">” Azərbaycan Respublikasının Qanununu “Cinayət yolu ilə əldə edilmiş pul vəsaitlərinin və ya digər əmlakın </w:t>
      </w:r>
      <w:proofErr w:type="spellStart"/>
      <w:r w:rsidRPr="00721CBD">
        <w:rPr>
          <w:sz w:val="28"/>
          <w:szCs w:val="28"/>
          <w:lang w:val="az-Latn-AZ"/>
        </w:rPr>
        <w:t>leqallaşdırılmasına</w:t>
      </w:r>
      <w:proofErr w:type="spellEnd"/>
      <w:r w:rsidRPr="00721CBD">
        <w:rPr>
          <w:sz w:val="28"/>
          <w:szCs w:val="28"/>
          <w:lang w:val="az-Latn-AZ"/>
        </w:rPr>
        <w:t xml:space="preserve"> və terrorçuluğun </w:t>
      </w:r>
      <w:proofErr w:type="spellStart"/>
      <w:r w:rsidRPr="00721CBD">
        <w:rPr>
          <w:sz w:val="28"/>
          <w:szCs w:val="28"/>
          <w:lang w:val="az-Latn-AZ"/>
        </w:rPr>
        <w:t>maliyyələşdirilməsinə</w:t>
      </w:r>
      <w:proofErr w:type="spellEnd"/>
      <w:r w:rsidRPr="00721CBD">
        <w:rPr>
          <w:sz w:val="28"/>
          <w:szCs w:val="28"/>
          <w:lang w:val="az-Latn-AZ"/>
        </w:rPr>
        <w:t xml:space="preserve"> qarşı mübarizə haqqında” Azərbaycan Respublikasının Qanununda dəyişikliklər edilməsi barədə” Azərbaycan Respublikasının 2017-ci il 13 iyun tarixli 736-VQD nömrəli </w:t>
      </w:r>
      <w:r w:rsidRPr="00721CBD">
        <w:rPr>
          <w:bCs/>
          <w:sz w:val="28"/>
          <w:szCs w:val="28"/>
          <w:lang w:val="az-Latn-AZ"/>
        </w:rPr>
        <w:t xml:space="preserve">Qanununa </w:t>
      </w:r>
      <w:proofErr w:type="spellStart"/>
      <w:r w:rsidRPr="00721CBD">
        <w:rPr>
          <w:bCs/>
          <w:sz w:val="28"/>
          <w:szCs w:val="28"/>
          <w:lang w:val="az-Latn-AZ"/>
        </w:rPr>
        <w:t>uyğunlaşdırmaq</w:t>
      </w:r>
      <w:proofErr w:type="spellEnd"/>
      <w:r w:rsidRPr="00721CBD">
        <w:rPr>
          <w:bCs/>
          <w:sz w:val="28"/>
          <w:szCs w:val="28"/>
          <w:lang w:val="az-Latn-AZ"/>
        </w:rPr>
        <w:t xml:space="preserve"> məqsədi ilə</w:t>
      </w:r>
      <w:r w:rsidRPr="00721CBD">
        <w:rPr>
          <w:sz w:val="28"/>
          <w:szCs w:val="28"/>
          <w:lang w:val="az-Latn-AZ"/>
        </w:rPr>
        <w:t xml:space="preserve"> </w:t>
      </w:r>
      <w:r w:rsidRPr="00721CBD">
        <w:rPr>
          <w:b/>
          <w:sz w:val="28"/>
          <w:szCs w:val="28"/>
          <w:lang w:val="az-Latn-AZ"/>
        </w:rPr>
        <w:t>qərara alır:</w:t>
      </w: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>“</w:t>
      </w:r>
      <w:hyperlink r:id="rId6" w:tgtFrame="_blank" w:tooltip="15 may 2015-ci il tarixli 1284-IVQ nömrəli Azərbaycan Respublikasının Qanunu " w:history="1">
        <w:r w:rsidRPr="00721CBD">
          <w:rPr>
            <w:sz w:val="28"/>
            <w:szCs w:val="28"/>
            <w:lang w:val="az-Latn-AZ"/>
          </w:rPr>
          <w:t>Qiymətli kağızlar bazarı haqqında</w:t>
        </w:r>
      </w:hyperlink>
      <w:r w:rsidRPr="00721CBD">
        <w:rPr>
          <w:sz w:val="28"/>
          <w:szCs w:val="28"/>
          <w:lang w:val="az-Latn-AZ"/>
        </w:rPr>
        <w:t xml:space="preserve">” Azərbaycan Respublikasının Qanununda (Azərbaycan Respublikasının Qanunvericilik Toplusu, 2015, № 7, maddə 813; 2016, </w:t>
      </w:r>
      <w:r>
        <w:rPr>
          <w:sz w:val="28"/>
          <w:szCs w:val="28"/>
          <w:lang w:val="az-Latn-AZ"/>
        </w:rPr>
        <w:t xml:space="preserve">  </w:t>
      </w:r>
      <w:r w:rsidRPr="00721CBD">
        <w:rPr>
          <w:sz w:val="28"/>
          <w:szCs w:val="28"/>
          <w:lang w:val="az-Latn-AZ"/>
        </w:rPr>
        <w:t xml:space="preserve">№ 3, maddə 411, № 11, maddə 1756, № 12, maddə 2003; 2017, № 2, maddə 159, № 5, maddə 712, № 12, </w:t>
      </w:r>
      <w:r>
        <w:rPr>
          <w:sz w:val="28"/>
          <w:szCs w:val="28"/>
          <w:lang w:val="az-Latn-AZ"/>
        </w:rPr>
        <w:t xml:space="preserve">I kitab, </w:t>
      </w:r>
      <w:r w:rsidRPr="00721CBD">
        <w:rPr>
          <w:sz w:val="28"/>
          <w:szCs w:val="28"/>
          <w:lang w:val="az-Latn-AZ"/>
        </w:rPr>
        <w:t>maddə 2222) aşağıdakı dəyişikliklər edilsin:</w:t>
      </w: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 xml:space="preserve">1. </w:t>
      </w:r>
      <w:r>
        <w:rPr>
          <w:sz w:val="28"/>
          <w:szCs w:val="28"/>
          <w:lang w:val="az-Latn-AZ"/>
        </w:rPr>
        <w:t xml:space="preserve">  </w:t>
      </w:r>
      <w:r w:rsidRPr="00721CBD">
        <w:rPr>
          <w:sz w:val="28"/>
          <w:szCs w:val="28"/>
          <w:lang w:val="az-Latn-AZ"/>
        </w:rPr>
        <w:t>1.0.3-cü maddə aşağıdakı redaksiyada verilsin:</w:t>
      </w: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 xml:space="preserve">“1.0.3. </w:t>
      </w:r>
      <w:proofErr w:type="spellStart"/>
      <w:r w:rsidRPr="00721CBD">
        <w:rPr>
          <w:sz w:val="28"/>
          <w:szCs w:val="28"/>
          <w:lang w:val="az-Latn-AZ"/>
        </w:rPr>
        <w:t>benefisiar</w:t>
      </w:r>
      <w:proofErr w:type="spellEnd"/>
      <w:r w:rsidRPr="00721CBD">
        <w:rPr>
          <w:sz w:val="28"/>
          <w:szCs w:val="28"/>
          <w:lang w:val="az-Latn-AZ"/>
        </w:rPr>
        <w:t xml:space="preserve"> mülkiyyətçi - pul vəsaitləri və ya digər əmlakla əlaqədar əməliyyatlardan son nəticədə iqtisadi və ya hər hansı digər fayda əldə edən fiziki və ya hüquqi şəxs, o cümlədən xeyrinə </w:t>
      </w:r>
      <w:proofErr w:type="spellStart"/>
      <w:r w:rsidRPr="00721CBD">
        <w:rPr>
          <w:sz w:val="28"/>
          <w:szCs w:val="28"/>
          <w:lang w:val="az-Latn-AZ"/>
        </w:rPr>
        <w:t>əqdlərin</w:t>
      </w:r>
      <w:proofErr w:type="spellEnd"/>
      <w:r w:rsidRPr="00721CBD">
        <w:rPr>
          <w:sz w:val="28"/>
          <w:szCs w:val="28"/>
          <w:lang w:val="az-Latn-AZ"/>
        </w:rPr>
        <w:t xml:space="preserve"> həyata keçirildiyi hüquqi şəxsin əsl sahibi və ya müştəriyə nəzarəti həyata keçirən və (və ya) adından maliyyə əməliyyatlarının və ya digər </w:t>
      </w:r>
      <w:proofErr w:type="spellStart"/>
      <w:r w:rsidRPr="00721CBD">
        <w:rPr>
          <w:sz w:val="28"/>
          <w:szCs w:val="28"/>
          <w:lang w:val="az-Latn-AZ"/>
        </w:rPr>
        <w:t>əqdlərin</w:t>
      </w:r>
      <w:proofErr w:type="spellEnd"/>
      <w:r w:rsidRPr="00721CBD">
        <w:rPr>
          <w:sz w:val="28"/>
          <w:szCs w:val="28"/>
          <w:lang w:val="az-Latn-AZ"/>
        </w:rPr>
        <w:t xml:space="preserve"> həyata keçirildiyi fiziki şəxs və ya hüquqi şəxsə nəzarəti həyata keçirən fiziki şəxs;”. </w:t>
      </w: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 xml:space="preserve">2. </w:t>
      </w:r>
      <w:r>
        <w:rPr>
          <w:sz w:val="28"/>
          <w:szCs w:val="28"/>
          <w:lang w:val="az-Latn-AZ"/>
        </w:rPr>
        <w:t xml:space="preserve">  </w:t>
      </w:r>
      <w:r w:rsidRPr="00721CBD">
        <w:rPr>
          <w:sz w:val="28"/>
          <w:szCs w:val="28"/>
          <w:lang w:val="az-Latn-AZ"/>
        </w:rPr>
        <w:t>62.3-cü maddədə “</w:t>
      </w:r>
      <w:proofErr w:type="spellStart"/>
      <w:r w:rsidRPr="00721CBD">
        <w:rPr>
          <w:sz w:val="28"/>
          <w:szCs w:val="28"/>
          <w:lang w:val="az-Latn-AZ"/>
        </w:rPr>
        <w:t>benefisiarları</w:t>
      </w:r>
      <w:proofErr w:type="spellEnd"/>
      <w:r w:rsidRPr="00721CBD">
        <w:rPr>
          <w:sz w:val="28"/>
          <w:szCs w:val="28"/>
          <w:lang w:val="az-Latn-AZ"/>
        </w:rPr>
        <w:t>” sözü “</w:t>
      </w:r>
      <w:proofErr w:type="spellStart"/>
      <w:r w:rsidRPr="00721CBD">
        <w:rPr>
          <w:sz w:val="28"/>
          <w:szCs w:val="28"/>
          <w:lang w:val="az-Latn-AZ"/>
        </w:rPr>
        <w:t>benefisiar</w:t>
      </w:r>
      <w:proofErr w:type="spellEnd"/>
      <w:r w:rsidRPr="00721CBD">
        <w:rPr>
          <w:sz w:val="28"/>
          <w:szCs w:val="28"/>
          <w:lang w:val="az-Latn-AZ"/>
        </w:rPr>
        <w:t xml:space="preserve"> mülkiyyətçiləri” sözləri ilə əvəz edilsin.</w:t>
      </w: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 xml:space="preserve">3. </w:t>
      </w:r>
      <w:r>
        <w:rPr>
          <w:sz w:val="28"/>
          <w:szCs w:val="28"/>
          <w:lang w:val="az-Latn-AZ"/>
        </w:rPr>
        <w:t xml:space="preserve"> </w:t>
      </w:r>
      <w:r w:rsidRPr="00721CBD">
        <w:rPr>
          <w:sz w:val="28"/>
          <w:szCs w:val="28"/>
          <w:lang w:val="az-Latn-AZ"/>
        </w:rPr>
        <w:t>62.6.1.5-ci, 66.1.12-ci və 79.1.2-ci maddələrdə “</w:t>
      </w:r>
      <w:proofErr w:type="spellStart"/>
      <w:r w:rsidRPr="00721CBD">
        <w:rPr>
          <w:sz w:val="28"/>
          <w:szCs w:val="28"/>
          <w:lang w:val="az-Latn-AZ"/>
        </w:rPr>
        <w:t>benefisiarlar</w:t>
      </w:r>
      <w:proofErr w:type="spellEnd"/>
      <w:r w:rsidRPr="00721CBD">
        <w:rPr>
          <w:sz w:val="28"/>
          <w:szCs w:val="28"/>
          <w:lang w:val="az-Latn-AZ"/>
        </w:rPr>
        <w:t>” sözü “</w:t>
      </w:r>
      <w:proofErr w:type="spellStart"/>
      <w:r w:rsidRPr="00721CBD">
        <w:rPr>
          <w:sz w:val="28"/>
          <w:szCs w:val="28"/>
          <w:lang w:val="az-Latn-AZ"/>
        </w:rPr>
        <w:t>benefisiar</w:t>
      </w:r>
      <w:proofErr w:type="spellEnd"/>
      <w:r w:rsidRPr="00721CBD">
        <w:rPr>
          <w:sz w:val="28"/>
          <w:szCs w:val="28"/>
          <w:lang w:val="az-Latn-AZ"/>
        </w:rPr>
        <w:t xml:space="preserve"> mülkiyyətçilər” sözləri ilə əvəz edilsin.</w:t>
      </w:r>
    </w:p>
    <w:p w:rsidR="00A22ABC" w:rsidRPr="00721CBD" w:rsidRDefault="00A22ABC" w:rsidP="00A22ABC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721CBD">
        <w:rPr>
          <w:sz w:val="28"/>
          <w:szCs w:val="28"/>
          <w:lang w:val="az-Latn-AZ"/>
        </w:rPr>
        <w:t xml:space="preserve"> </w:t>
      </w:r>
    </w:p>
    <w:p w:rsidR="00A22ABC" w:rsidRDefault="00A22ABC" w:rsidP="00A22ABC">
      <w:pPr>
        <w:spacing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22ABC" w:rsidRDefault="00A22ABC" w:rsidP="00A22ABC">
      <w:pPr>
        <w:spacing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A22ABC" w:rsidRDefault="00A22ABC" w:rsidP="00A22ABC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22ABC" w:rsidRDefault="00A22ABC" w:rsidP="00A22ABC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22ABC" w:rsidRDefault="00A22ABC" w:rsidP="00A22ABC">
      <w:pPr>
        <w:spacing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31 may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A22ABC" w:rsidRDefault="00A22ABC" w:rsidP="00A22ABC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1165-VQD</w:t>
      </w:r>
      <w:bookmarkStart w:id="0" w:name="_GoBack"/>
      <w:bookmarkEnd w:id="0"/>
    </w:p>
    <w:sectPr w:rsidR="00A22ABC" w:rsidSect="00083273">
      <w:pgSz w:w="11907" w:h="16840" w:code="9"/>
      <w:pgMar w:top="964" w:right="964" w:bottom="964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C"/>
    <w:rsid w:val="00A22AB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C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A22ABC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A22ABC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C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A22ABC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A22ABC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0333" TargetMode="External"/><Relationship Id="rId5" Type="http://schemas.openxmlformats.org/officeDocument/2006/relationships/hyperlink" Target="http://e-qanun.az/framework/3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2018-08-06T05:23:00Z</dcterms:created>
  <dcterms:modified xsi:type="dcterms:W3CDTF">2018-08-06T05:24:00Z</dcterms:modified>
</cp:coreProperties>
</file>