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AA" w:rsidRDefault="00A44EAA" w:rsidP="00A44EAA">
      <w:pPr>
        <w:jc w:val="center"/>
        <w:rPr>
          <w:rFonts w:ascii="Times New Roman" w:hAnsi="Times New Roman"/>
          <w:b/>
          <w:snapToGrid w:val="0"/>
          <w:sz w:val="32"/>
          <w:szCs w:val="32"/>
          <w:lang w:val="az-Latn-AZ"/>
        </w:rPr>
      </w:pPr>
    </w:p>
    <w:p w:rsidR="00A44EAA" w:rsidRDefault="00A44EAA" w:rsidP="00A44EAA">
      <w:pPr>
        <w:jc w:val="center"/>
        <w:rPr>
          <w:rFonts w:ascii="Times New Roman" w:hAnsi="Times New Roman"/>
          <w:b/>
          <w:snapToGrid w:val="0"/>
          <w:sz w:val="32"/>
          <w:szCs w:val="32"/>
          <w:lang w:val="az-Latn-AZ"/>
        </w:rPr>
      </w:pPr>
    </w:p>
    <w:p w:rsidR="00A44EAA" w:rsidRDefault="00A44EAA" w:rsidP="00A44EAA">
      <w:pPr>
        <w:jc w:val="center"/>
        <w:rPr>
          <w:rFonts w:ascii="Times New Roman" w:hAnsi="Times New Roman"/>
          <w:b/>
          <w:snapToGrid w:val="0"/>
          <w:sz w:val="32"/>
          <w:szCs w:val="32"/>
          <w:lang w:val="az-Latn-AZ"/>
        </w:rPr>
      </w:pPr>
    </w:p>
    <w:p w:rsidR="00A44EAA" w:rsidRDefault="00A44EAA" w:rsidP="00A44EAA">
      <w:pPr>
        <w:jc w:val="center"/>
        <w:rPr>
          <w:rFonts w:ascii="Times New Roman" w:hAnsi="Times New Roman"/>
          <w:b/>
          <w:snapToGrid w:val="0"/>
          <w:sz w:val="32"/>
          <w:szCs w:val="32"/>
          <w:lang w:val="az-Latn-AZ"/>
        </w:rPr>
      </w:pPr>
    </w:p>
    <w:p w:rsidR="00A44EAA" w:rsidRDefault="00A44EAA" w:rsidP="00A44EAA">
      <w:pPr>
        <w:jc w:val="center"/>
        <w:rPr>
          <w:rFonts w:ascii="Times New Roman" w:hAnsi="Times New Roman"/>
          <w:b/>
          <w:snapToGrid w:val="0"/>
          <w:sz w:val="32"/>
          <w:szCs w:val="32"/>
          <w:lang w:val="az-Latn-AZ"/>
        </w:rPr>
      </w:pPr>
    </w:p>
    <w:p w:rsidR="00A44EAA" w:rsidRPr="00136042" w:rsidRDefault="00A44EAA" w:rsidP="00A44EAA">
      <w:pPr>
        <w:jc w:val="center"/>
        <w:rPr>
          <w:rFonts w:ascii="Times New Roman" w:hAnsi="Times New Roman"/>
          <w:b/>
          <w:sz w:val="32"/>
          <w:szCs w:val="32"/>
          <w:lang w:val="az-Latn-AZ"/>
        </w:rPr>
      </w:pPr>
      <w:r w:rsidRPr="00136042">
        <w:rPr>
          <w:rFonts w:ascii="Times New Roman" w:hAnsi="Times New Roman"/>
          <w:b/>
          <w:snapToGrid w:val="0"/>
          <w:sz w:val="32"/>
          <w:szCs w:val="32"/>
          <w:lang w:val="az-Latn-AZ"/>
        </w:rPr>
        <w:t xml:space="preserve">“Xəzər dənizinin Azərbaycan sektorunda </w:t>
      </w:r>
      <w:r w:rsidRPr="00136042">
        <w:rPr>
          <w:rFonts w:ascii="Times New Roman" w:hAnsi="Times New Roman"/>
          <w:b/>
          <w:sz w:val="32"/>
          <w:szCs w:val="32"/>
          <w:lang w:val="az-Latn-AZ"/>
        </w:rPr>
        <w:t>Əşrəfi - Dan  ulduzu - Aypara  sahəsinin</w:t>
      </w:r>
      <w:r w:rsidRPr="00136042" w:rsidDel="003E3FD6">
        <w:rPr>
          <w:rFonts w:ascii="Times New Roman" w:hAnsi="Times New Roman"/>
          <w:b/>
          <w:sz w:val="32"/>
          <w:szCs w:val="32"/>
          <w:lang w:val="az-Latn-AZ" w:eastAsia="fr-FR"/>
        </w:rPr>
        <w:t xml:space="preserve"> </w:t>
      </w:r>
      <w:r w:rsidRPr="00136042">
        <w:rPr>
          <w:rFonts w:ascii="Times New Roman" w:hAnsi="Times New Roman"/>
          <w:b/>
          <w:sz w:val="32"/>
          <w:szCs w:val="32"/>
          <w:lang w:val="az-Latn-AZ" w:eastAsia="fr-FR"/>
        </w:rPr>
        <w:t>kəşfiyyatı, işlənməsi və hasilatın pay bölgüsü haqqında”</w:t>
      </w:r>
      <w:r w:rsidRPr="00136042">
        <w:rPr>
          <w:rFonts w:ascii="Times New Roman" w:hAnsi="Times New Roman"/>
          <w:b/>
          <w:snapToGrid w:val="0"/>
          <w:sz w:val="32"/>
          <w:szCs w:val="32"/>
          <w:lang w:val="az-Latn-AZ"/>
        </w:rPr>
        <w:t xml:space="preserve"> </w:t>
      </w:r>
      <w:r w:rsidRPr="00136042">
        <w:rPr>
          <w:rFonts w:ascii="Times New Roman" w:hAnsi="Times New Roman"/>
          <w:b/>
          <w:sz w:val="32"/>
          <w:szCs w:val="32"/>
          <w:lang w:val="az-Latn-AZ"/>
        </w:rPr>
        <w:t>Azərbaycan Respublikasının Dövlət Neft Şirkəti ilə Statoyl Azərbaycan Əşrəfi Dan  Ulduzu  Aypara BV və SOCAR-ın Ortaq neft şirkəti arasında Sazişin qəbul və təsdiq edilməsi, həyata keçirilməsinə icazə verilməsi barədə</w:t>
      </w:r>
    </w:p>
    <w:p w:rsidR="00A44EAA" w:rsidRDefault="00A44EAA" w:rsidP="00A44EAA">
      <w:pPr>
        <w:ind w:firstLine="720"/>
        <w:jc w:val="both"/>
        <w:rPr>
          <w:rFonts w:ascii="Times New Roman" w:hAnsi="Times New Roman"/>
          <w:sz w:val="28"/>
          <w:szCs w:val="28"/>
          <w:lang w:val="az-Latn-AZ"/>
        </w:rPr>
      </w:pPr>
    </w:p>
    <w:p w:rsidR="00A44EAA" w:rsidRPr="00F61D06" w:rsidRDefault="00A44EAA" w:rsidP="00A44EAA">
      <w:pPr>
        <w:jc w:val="center"/>
        <w:rPr>
          <w:b/>
          <w:sz w:val="40"/>
          <w:szCs w:val="40"/>
          <w:lang w:val="az-Latn-AZ"/>
        </w:rPr>
      </w:pPr>
      <w:r w:rsidRPr="00F61D06">
        <w:rPr>
          <w:b/>
          <w:sz w:val="40"/>
          <w:szCs w:val="40"/>
          <w:lang w:val="az-Latn-AZ"/>
        </w:rPr>
        <w:t>AZƏRBAYCAN RESPUBLİKASININ QANUNU</w:t>
      </w:r>
    </w:p>
    <w:p w:rsidR="00A44EAA" w:rsidRDefault="00A44EAA" w:rsidP="00A44EAA">
      <w:pPr>
        <w:rPr>
          <w:b/>
          <w:lang w:val="az-Latn-AZ"/>
        </w:rPr>
      </w:pPr>
    </w:p>
    <w:p w:rsidR="00A44EAA" w:rsidRPr="00136042" w:rsidRDefault="00A44EAA" w:rsidP="00A44EAA">
      <w:pPr>
        <w:ind w:firstLine="720"/>
        <w:jc w:val="both"/>
        <w:rPr>
          <w:rFonts w:ascii="Times New Roman" w:hAnsi="Times New Roman"/>
          <w:sz w:val="28"/>
          <w:szCs w:val="28"/>
          <w:lang w:val="az-Latn-AZ"/>
        </w:rPr>
      </w:pPr>
    </w:p>
    <w:p w:rsidR="00A44EAA" w:rsidRPr="00136042" w:rsidRDefault="00A44EAA" w:rsidP="00A44EAA">
      <w:pPr>
        <w:widowControl w:val="0"/>
        <w:jc w:val="both"/>
        <w:rPr>
          <w:rFonts w:ascii="Times New Roman" w:hAnsi="Times New Roman"/>
          <w:sz w:val="28"/>
          <w:szCs w:val="28"/>
          <w:lang w:val="az-Latn-AZ"/>
        </w:rPr>
      </w:pPr>
      <w:r w:rsidRPr="00136042">
        <w:rPr>
          <w:rFonts w:ascii="Times New Roman" w:hAnsi="Times New Roman"/>
          <w:sz w:val="28"/>
          <w:szCs w:val="28"/>
          <w:lang w:val="az-Latn-AZ"/>
        </w:rPr>
        <w:tab/>
        <w:t>2018-ci il mayın 30-da Azərbaycan Respublikasının Dövlət Neft Şirkəti (</w:t>
      </w:r>
      <w:r>
        <w:rPr>
          <w:rFonts w:ascii="Times New Roman" w:hAnsi="Times New Roman"/>
          <w:sz w:val="28"/>
          <w:szCs w:val="28"/>
          <w:lang w:val="az-Latn-AZ"/>
        </w:rPr>
        <w:t>“</w:t>
      </w:r>
      <w:r w:rsidRPr="00136042">
        <w:rPr>
          <w:rFonts w:ascii="Times New Roman" w:hAnsi="Times New Roman"/>
          <w:sz w:val="28"/>
          <w:szCs w:val="28"/>
          <w:lang w:val="az-Latn-AZ"/>
        </w:rPr>
        <w:t>SOCAR</w:t>
      </w:r>
      <w:r>
        <w:rPr>
          <w:rFonts w:ascii="Times New Roman" w:hAnsi="Times New Roman"/>
          <w:sz w:val="28"/>
          <w:szCs w:val="28"/>
          <w:lang w:val="az-Latn-AZ"/>
        </w:rPr>
        <w:t>”</w:t>
      </w:r>
      <w:r w:rsidRPr="00136042">
        <w:rPr>
          <w:rFonts w:ascii="Times New Roman" w:hAnsi="Times New Roman"/>
          <w:sz w:val="28"/>
          <w:szCs w:val="28"/>
          <w:lang w:val="az-Latn-AZ"/>
        </w:rPr>
        <w:t>), Statoyl Azərbaycan Əşrəfi Dan  Ulduzu  Aypara BV (“Statoyl”) və SOCAR</w:t>
      </w:r>
      <w:r w:rsidRPr="00136042">
        <w:rPr>
          <w:rFonts w:ascii="Times New Roman" w:hAnsi="Times New Roman"/>
          <w:b/>
          <w:sz w:val="28"/>
          <w:szCs w:val="28"/>
          <w:lang w:val="az-Latn-AZ"/>
        </w:rPr>
        <w:t>-</w:t>
      </w:r>
      <w:r w:rsidRPr="00136042">
        <w:rPr>
          <w:rFonts w:ascii="Times New Roman" w:hAnsi="Times New Roman"/>
          <w:sz w:val="28"/>
          <w:szCs w:val="28"/>
          <w:lang w:val="az-Latn-AZ"/>
        </w:rPr>
        <w:t>ın Ortaq neft şirkəti (</w:t>
      </w:r>
      <w:r>
        <w:rPr>
          <w:rFonts w:ascii="Times New Roman" w:hAnsi="Times New Roman"/>
          <w:sz w:val="28"/>
          <w:szCs w:val="28"/>
          <w:lang w:val="az-Latn-AZ"/>
        </w:rPr>
        <w:t>“</w:t>
      </w:r>
      <w:r w:rsidRPr="00136042">
        <w:rPr>
          <w:rFonts w:ascii="Times New Roman" w:hAnsi="Times New Roman"/>
          <w:sz w:val="28"/>
          <w:szCs w:val="28"/>
          <w:lang w:val="az-Latn-AZ"/>
        </w:rPr>
        <w:t>ONŞ</w:t>
      </w:r>
      <w:r>
        <w:rPr>
          <w:rFonts w:ascii="Times New Roman" w:hAnsi="Times New Roman"/>
          <w:sz w:val="28"/>
          <w:szCs w:val="28"/>
          <w:lang w:val="az-Latn-AZ"/>
        </w:rPr>
        <w:t>”</w:t>
      </w:r>
      <w:r w:rsidRPr="00136042">
        <w:rPr>
          <w:rFonts w:ascii="Times New Roman" w:hAnsi="Times New Roman"/>
          <w:sz w:val="28"/>
          <w:szCs w:val="28"/>
          <w:lang w:val="az-Latn-AZ"/>
        </w:rPr>
        <w:t>) arasında Saziş  bağlanmışdır.</w:t>
      </w:r>
    </w:p>
    <w:p w:rsidR="00A44EAA" w:rsidRPr="00136042" w:rsidRDefault="00A44EAA" w:rsidP="00A44EAA">
      <w:pPr>
        <w:widowControl w:val="0"/>
        <w:jc w:val="both"/>
        <w:rPr>
          <w:rFonts w:ascii="Times New Roman" w:hAnsi="Times New Roman"/>
          <w:sz w:val="28"/>
          <w:szCs w:val="28"/>
          <w:lang w:val="az-Latn-AZ"/>
        </w:rPr>
      </w:pPr>
    </w:p>
    <w:p w:rsidR="00A44EAA" w:rsidRPr="00136042" w:rsidRDefault="00A44EAA" w:rsidP="00A44EAA">
      <w:pPr>
        <w:ind w:firstLine="720"/>
        <w:jc w:val="both"/>
        <w:rPr>
          <w:rFonts w:ascii="Times New Roman" w:hAnsi="Times New Roman"/>
          <w:sz w:val="28"/>
          <w:szCs w:val="28"/>
          <w:lang w:val="az-Latn-AZ"/>
        </w:rPr>
      </w:pPr>
      <w:r w:rsidRPr="00136042">
        <w:rPr>
          <w:rFonts w:ascii="Times New Roman" w:hAnsi="Times New Roman"/>
          <w:sz w:val="28"/>
          <w:szCs w:val="28"/>
          <w:lang w:val="az-Latn-AZ"/>
        </w:rPr>
        <w:t xml:space="preserve">Azərbaycan Respublikasının Milli Məclisi Azərbaycan Respublikasının Konstitusiyasının 95-ci maddəsinin I hissəsinin 4-cü bəndini rəhbər tutaraq  </w:t>
      </w:r>
      <w:r w:rsidRPr="00136042">
        <w:rPr>
          <w:rFonts w:ascii="Times New Roman" w:hAnsi="Times New Roman"/>
          <w:b/>
          <w:sz w:val="28"/>
          <w:szCs w:val="28"/>
          <w:lang w:val="az-Latn-AZ"/>
        </w:rPr>
        <w:t>qərara alır</w:t>
      </w:r>
      <w:r w:rsidRPr="00136042">
        <w:rPr>
          <w:rFonts w:ascii="Times New Roman" w:hAnsi="Times New Roman"/>
          <w:sz w:val="28"/>
          <w:szCs w:val="28"/>
          <w:lang w:val="az-Latn-AZ"/>
        </w:rPr>
        <w:t xml:space="preserve">: </w:t>
      </w:r>
    </w:p>
    <w:p w:rsidR="00A44EAA" w:rsidRPr="00136042" w:rsidRDefault="00A44EAA" w:rsidP="00A44EAA">
      <w:pPr>
        <w:widowControl w:val="0"/>
        <w:jc w:val="both"/>
        <w:rPr>
          <w:rFonts w:ascii="Times New Roman" w:hAnsi="Times New Roman"/>
          <w:sz w:val="28"/>
          <w:szCs w:val="28"/>
          <w:lang w:val="az-Latn-AZ"/>
        </w:rPr>
      </w:pPr>
      <w:r w:rsidRPr="00136042">
        <w:rPr>
          <w:rFonts w:ascii="Times New Roman" w:hAnsi="Times New Roman"/>
          <w:sz w:val="28"/>
          <w:szCs w:val="28"/>
          <w:lang w:val="az-Latn-AZ"/>
        </w:rPr>
        <w:tab/>
        <w:t xml:space="preserve">1. </w:t>
      </w:r>
      <w:r>
        <w:rPr>
          <w:rFonts w:ascii="Times New Roman" w:hAnsi="Times New Roman"/>
          <w:sz w:val="28"/>
          <w:szCs w:val="28"/>
          <w:lang w:val="az-Latn-AZ"/>
        </w:rPr>
        <w:t>“</w:t>
      </w:r>
      <w:r w:rsidRPr="00136042">
        <w:rPr>
          <w:rFonts w:ascii="Times New Roman" w:hAnsi="Times New Roman"/>
          <w:sz w:val="28"/>
          <w:szCs w:val="28"/>
          <w:lang w:val="az-Latn-AZ" w:eastAsia="fr-FR"/>
        </w:rPr>
        <w:t xml:space="preserve">Xəzər dənizinin Azərbaycan sektorunda </w:t>
      </w:r>
      <w:r w:rsidRPr="00136042">
        <w:rPr>
          <w:rFonts w:ascii="Times New Roman" w:hAnsi="Times New Roman"/>
          <w:sz w:val="28"/>
          <w:szCs w:val="28"/>
          <w:lang w:val="az-Latn-AZ"/>
        </w:rPr>
        <w:t>Əşrəfi - Dan  ulduzu - Aypara  sahəsinin</w:t>
      </w:r>
      <w:r w:rsidRPr="00136042" w:rsidDel="003E3FD6">
        <w:rPr>
          <w:rFonts w:ascii="Times New Roman" w:hAnsi="Times New Roman"/>
          <w:sz w:val="28"/>
          <w:szCs w:val="28"/>
          <w:lang w:val="az-Latn-AZ" w:eastAsia="fr-FR"/>
        </w:rPr>
        <w:t xml:space="preserve"> </w:t>
      </w:r>
      <w:r w:rsidRPr="00136042">
        <w:rPr>
          <w:rFonts w:ascii="Times New Roman" w:hAnsi="Times New Roman"/>
          <w:sz w:val="28"/>
          <w:szCs w:val="28"/>
          <w:lang w:val="az-Latn-AZ" w:eastAsia="fr-FR"/>
        </w:rPr>
        <w:t xml:space="preserve">kəşfiyyatı, işlənməsi və hasilatın pay bölgüsü </w:t>
      </w:r>
      <w:r w:rsidRPr="00136042">
        <w:rPr>
          <w:rFonts w:ascii="Times New Roman" w:hAnsi="Times New Roman"/>
          <w:sz w:val="28"/>
          <w:szCs w:val="28"/>
          <w:lang w:val="az-Latn-AZ" w:eastAsia="en-US"/>
        </w:rPr>
        <w:t>haqqında</w:t>
      </w:r>
      <w:r w:rsidRPr="00136042">
        <w:rPr>
          <w:rFonts w:ascii="Times New Roman" w:hAnsi="Times New Roman"/>
          <w:snapToGrid w:val="0"/>
          <w:sz w:val="28"/>
          <w:szCs w:val="28"/>
          <w:lang w:val="az-Latn-AZ"/>
        </w:rPr>
        <w:t xml:space="preserve">” </w:t>
      </w:r>
      <w:r w:rsidRPr="00136042">
        <w:rPr>
          <w:rFonts w:ascii="Times New Roman" w:hAnsi="Times New Roman"/>
          <w:sz w:val="28"/>
          <w:szCs w:val="28"/>
          <w:lang w:val="az-Latn-AZ"/>
        </w:rPr>
        <w:t>Azərbaycan Respublikasının Dövlət Neft Şirkəti ilə Statoyl Azərbaycan Əşrəfi Dan  Ulduzu  Aypara BV və SOCAR</w:t>
      </w:r>
      <w:r w:rsidRPr="00136042">
        <w:rPr>
          <w:rFonts w:ascii="Times New Roman" w:hAnsi="Times New Roman"/>
          <w:b/>
          <w:sz w:val="28"/>
          <w:szCs w:val="28"/>
          <w:lang w:val="az-Latn-AZ"/>
        </w:rPr>
        <w:t>-</w:t>
      </w:r>
      <w:r w:rsidRPr="00136042">
        <w:rPr>
          <w:rFonts w:ascii="Times New Roman" w:hAnsi="Times New Roman"/>
          <w:sz w:val="28"/>
          <w:szCs w:val="28"/>
          <w:lang w:val="az-Latn-AZ"/>
        </w:rPr>
        <w:t>ın Ortaq neft şirkəti arasında Saziş (bundan sonra - Saziş)  qəbul və təsdiq edilsin, onun həyata keçirilməsinə icazə verilsin.</w:t>
      </w:r>
    </w:p>
    <w:p w:rsidR="00A44EAA" w:rsidRPr="00136042" w:rsidRDefault="00A44EAA" w:rsidP="00A44EAA">
      <w:pPr>
        <w:ind w:firstLine="720"/>
        <w:jc w:val="both"/>
        <w:rPr>
          <w:rFonts w:ascii="Times New Roman" w:hAnsi="Times New Roman"/>
          <w:sz w:val="28"/>
          <w:szCs w:val="28"/>
          <w:lang w:val="az-Latn-AZ"/>
        </w:rPr>
      </w:pPr>
      <w:r w:rsidRPr="00136042">
        <w:rPr>
          <w:rFonts w:ascii="Times New Roman" w:hAnsi="Times New Roman"/>
          <w:sz w:val="28"/>
          <w:szCs w:val="28"/>
          <w:lang w:val="az-Latn-AZ"/>
        </w:rPr>
        <w:t>2. Azərbaycan Respublikasının Nazirlər Kabineti tərəfindən  Sazişdə iştirak edən Podratçılara verilən Azərbaycan Respublikası Hökumətinin təminatı və öhdəlikləri (bundan sonra Hökumət təminatı) qəbul edilsin və onların həyata keçirilməsinə icazə verilsin.</w:t>
      </w:r>
    </w:p>
    <w:p w:rsidR="00A44EAA" w:rsidRPr="00136042" w:rsidRDefault="00A44EAA" w:rsidP="00A44EAA">
      <w:pPr>
        <w:ind w:firstLine="720"/>
        <w:jc w:val="both"/>
        <w:rPr>
          <w:rFonts w:ascii="Times New Roman" w:hAnsi="Times New Roman"/>
          <w:sz w:val="28"/>
          <w:szCs w:val="28"/>
          <w:lang w:val="az-Latn-AZ"/>
        </w:rPr>
      </w:pPr>
      <w:r w:rsidRPr="00136042">
        <w:rPr>
          <w:rFonts w:ascii="Times New Roman" w:hAnsi="Times New Roman"/>
          <w:sz w:val="28"/>
          <w:szCs w:val="28"/>
          <w:lang w:val="az-Latn-AZ"/>
        </w:rPr>
        <w:t>3. Sazişin əsas mətninə edilmiş on iki (12) Əlavə və SOCAR-ın Ortaq neft şirkətinin yaradılmasına dair Qoşma (bundan sonra Əlavələr) qəbul edilsin və onların həyata keçirilməsinə icazə verilsin.</w:t>
      </w:r>
    </w:p>
    <w:p w:rsidR="00A44EAA" w:rsidRPr="00136042" w:rsidRDefault="00A44EAA" w:rsidP="00A44EAA">
      <w:pPr>
        <w:ind w:firstLine="720"/>
        <w:jc w:val="both"/>
        <w:rPr>
          <w:rFonts w:ascii="Times New Roman" w:hAnsi="Times New Roman"/>
          <w:sz w:val="28"/>
          <w:szCs w:val="28"/>
          <w:lang w:val="az-Latn-AZ"/>
        </w:rPr>
      </w:pPr>
      <w:r w:rsidRPr="00136042">
        <w:rPr>
          <w:rFonts w:ascii="Times New Roman" w:hAnsi="Times New Roman"/>
          <w:sz w:val="28"/>
          <w:szCs w:val="28"/>
          <w:lang w:val="az-Latn-AZ"/>
        </w:rPr>
        <w:t>4. Bu Qanun qüvvəyə mindikdən sonra Saziş, Hökumət təminatı və Əlavələr Qanun olurlar. Sazişdə konkret surətdə başqa hallar göstərilməyibsə, Saziş, Hökumət təminatı və Əlavələr Sazişin qüvvədə olduğu müddət ərzində bu Sazişə, Hökumət təminatına və Əlavələrə uyğun gəlməyən və ya zidd olan Azərbaycan Respublikasının hər hansı başqa mövcud və ya qəbul oluna biləcək qanunlarının, fərmanlarının, yaxud inzibati sərəncamlarının (və ya onların hissələrinin) müddəalarından üstün tutulur.</w:t>
      </w:r>
    </w:p>
    <w:p w:rsidR="00A44EAA" w:rsidRPr="00136042" w:rsidRDefault="00A44EAA" w:rsidP="00A44EAA">
      <w:pPr>
        <w:ind w:firstLine="720"/>
        <w:jc w:val="both"/>
        <w:rPr>
          <w:rFonts w:ascii="Times New Roman" w:hAnsi="Times New Roman"/>
          <w:sz w:val="28"/>
          <w:szCs w:val="28"/>
          <w:lang w:val="az-Latn-AZ"/>
        </w:rPr>
      </w:pPr>
    </w:p>
    <w:p w:rsidR="00A44EAA" w:rsidRPr="00136042" w:rsidRDefault="00A44EAA" w:rsidP="00A44EAA">
      <w:pPr>
        <w:ind w:firstLine="720"/>
        <w:jc w:val="both"/>
        <w:rPr>
          <w:rFonts w:ascii="Times New Roman" w:hAnsi="Times New Roman"/>
          <w:sz w:val="28"/>
          <w:szCs w:val="28"/>
          <w:lang w:val="az-Latn-AZ"/>
        </w:rPr>
      </w:pPr>
      <w:r w:rsidRPr="00136042">
        <w:rPr>
          <w:rFonts w:ascii="Times New Roman" w:hAnsi="Times New Roman"/>
          <w:sz w:val="28"/>
          <w:szCs w:val="28"/>
          <w:lang w:val="az-Latn-AZ"/>
        </w:rPr>
        <w:lastRenderedPageBreak/>
        <w:t>5. Bu Qanun qüvvəyə mindikdən sonra Sazişdə nəzərdə tutulan kontrakt sahəsinin istənilən hissəsi barəsində əvvəllər bağlanmış hər hansı saziş, kontrakt və ya bu cür başqa sənədlə verilə bilən bütün digər hüquq və vəzifələr ləğv edilir, habelə bu Qanun qüvvəyə mindikdən sonra Sazişin, Hökumət təminatının və Əlavələrin şərtlərinə müvafiq surətdə və qüvvədə olduğu bütün müddət ərzində Sazişin pay iştirakçılarına kontrakt sahəsində neft-qaz əməliyyatları aparmaq üçün müstəsna hüquq verilir.</w:t>
      </w:r>
    </w:p>
    <w:p w:rsidR="00A44EAA" w:rsidRPr="00136042" w:rsidRDefault="00A44EAA" w:rsidP="00A44EAA">
      <w:pPr>
        <w:ind w:firstLine="720"/>
        <w:jc w:val="both"/>
        <w:rPr>
          <w:rFonts w:ascii="Times New Roman" w:hAnsi="Times New Roman"/>
          <w:sz w:val="28"/>
          <w:szCs w:val="28"/>
          <w:lang w:val="az-Latn-AZ"/>
        </w:rPr>
      </w:pPr>
      <w:r w:rsidRPr="00136042">
        <w:rPr>
          <w:rFonts w:ascii="Times New Roman" w:hAnsi="Times New Roman"/>
          <w:sz w:val="28"/>
          <w:szCs w:val="28"/>
          <w:lang w:val="az-Latn-AZ"/>
        </w:rPr>
        <w:t>6. Bu Qanun qüvvəyə mindikdən sonra Podratçının (və ya onun hüquq varislərinin) Saziş, Hökumət təminatı və Əlavələr üzrə əldə etdiyi hüquqlar və mənafelər Podratçının qabaqcadan razılığı olmadan dəyişdirilə, düzəldilə və ya azaldıla bilməz.</w:t>
      </w:r>
    </w:p>
    <w:p w:rsidR="00A44EAA" w:rsidRPr="00136042" w:rsidRDefault="00A44EAA" w:rsidP="00A44EAA">
      <w:pPr>
        <w:ind w:firstLine="720"/>
        <w:jc w:val="both"/>
        <w:rPr>
          <w:rFonts w:ascii="Times New Roman" w:hAnsi="Times New Roman"/>
          <w:sz w:val="28"/>
          <w:szCs w:val="28"/>
          <w:lang w:val="az-Latn-AZ"/>
        </w:rPr>
      </w:pPr>
      <w:r w:rsidRPr="00136042">
        <w:rPr>
          <w:rFonts w:ascii="Times New Roman" w:hAnsi="Times New Roman"/>
          <w:sz w:val="28"/>
          <w:szCs w:val="28"/>
          <w:lang w:val="az-Latn-AZ"/>
        </w:rPr>
        <w:t>7. Sazişdən irəli gələn hüquq və öhdəliklərin yerinə yetirilməsi üçün Sazişin iştirakçılarına bütün lazımi lisenziyalar, gömrük icazələri, vizalar, başqa səlahiyyətlər və sanksiyalar verilir.</w:t>
      </w:r>
    </w:p>
    <w:p w:rsidR="00A44EAA" w:rsidRPr="00136042" w:rsidRDefault="00A44EAA" w:rsidP="00A44EAA">
      <w:pPr>
        <w:ind w:firstLine="720"/>
        <w:jc w:val="both"/>
        <w:rPr>
          <w:rFonts w:ascii="Times New Roman" w:hAnsi="Times New Roman"/>
          <w:sz w:val="28"/>
          <w:szCs w:val="28"/>
          <w:lang w:val="az-Latn-AZ"/>
        </w:rPr>
      </w:pPr>
      <w:r w:rsidRPr="00136042">
        <w:rPr>
          <w:rFonts w:ascii="Times New Roman" w:hAnsi="Times New Roman"/>
          <w:sz w:val="28"/>
          <w:szCs w:val="28"/>
          <w:lang w:val="az-Latn-AZ"/>
        </w:rPr>
        <w:t>8. Sazişə və ya Əlavələrə hər hansı əlavələr, düzəlişlər, dəyişikliklər yalnız Sazişin və Əlavələrin tərəflərinin yazılı razılığı ilə edilir.</w:t>
      </w:r>
    </w:p>
    <w:p w:rsidR="00A44EAA" w:rsidRPr="00136042" w:rsidRDefault="00A44EAA" w:rsidP="00A44EAA">
      <w:pPr>
        <w:jc w:val="both"/>
        <w:rPr>
          <w:rFonts w:ascii="Times New Roman" w:hAnsi="Times New Roman"/>
          <w:sz w:val="28"/>
          <w:szCs w:val="28"/>
          <w:lang w:val="az-Latn-AZ"/>
        </w:rPr>
      </w:pPr>
    </w:p>
    <w:p w:rsidR="00A44EAA" w:rsidRPr="00136042" w:rsidRDefault="00A44EAA" w:rsidP="00A44EAA">
      <w:pPr>
        <w:jc w:val="both"/>
        <w:rPr>
          <w:rFonts w:ascii="Times New Roman" w:hAnsi="Times New Roman"/>
          <w:b/>
          <w:sz w:val="28"/>
          <w:szCs w:val="28"/>
          <w:lang w:val="az-Latn-AZ"/>
        </w:rPr>
      </w:pPr>
    </w:p>
    <w:p w:rsidR="00A44EAA" w:rsidRPr="00136042" w:rsidRDefault="00A44EAA" w:rsidP="00A44EAA">
      <w:pPr>
        <w:jc w:val="both"/>
        <w:rPr>
          <w:rFonts w:ascii="Times New Roman" w:hAnsi="Times New Roman"/>
          <w:b/>
          <w:sz w:val="28"/>
          <w:szCs w:val="28"/>
          <w:lang w:val="az-Latn-AZ"/>
        </w:rPr>
      </w:pPr>
      <w:r w:rsidRPr="00136042">
        <w:rPr>
          <w:rFonts w:ascii="Times New Roman" w:hAnsi="Times New Roman"/>
          <w:b/>
          <w:sz w:val="28"/>
          <w:szCs w:val="28"/>
          <w:lang w:val="az-Latn-AZ"/>
        </w:rPr>
        <w:t xml:space="preserve">               </w:t>
      </w:r>
    </w:p>
    <w:p w:rsidR="00A44EAA" w:rsidRPr="00136042" w:rsidRDefault="00A44EAA" w:rsidP="00A44EAA">
      <w:pPr>
        <w:jc w:val="both"/>
        <w:rPr>
          <w:rFonts w:ascii="Times New Roman" w:hAnsi="Times New Roman"/>
          <w:b/>
          <w:sz w:val="28"/>
          <w:szCs w:val="28"/>
          <w:lang w:val="az-Latn-AZ"/>
        </w:rPr>
      </w:pPr>
    </w:p>
    <w:p w:rsidR="00A44EAA" w:rsidRPr="00136042" w:rsidRDefault="00A44EAA" w:rsidP="00A44EAA">
      <w:pPr>
        <w:jc w:val="both"/>
        <w:rPr>
          <w:rFonts w:ascii="Times New Roman" w:hAnsi="Times New Roman"/>
          <w:b/>
          <w:sz w:val="28"/>
          <w:szCs w:val="28"/>
          <w:lang w:val="az-Latn-AZ"/>
        </w:rPr>
      </w:pPr>
    </w:p>
    <w:p w:rsidR="00A44EAA" w:rsidRDefault="00A44EAA" w:rsidP="00A44EAA">
      <w:pPr>
        <w:ind w:left="4500"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A44EAA" w:rsidRPr="00F61D06" w:rsidRDefault="00A44EAA" w:rsidP="00A44EAA">
      <w:pPr>
        <w:ind w:left="3969"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Azərbaycan Respublikasının Prezidenti</w:t>
      </w:r>
    </w:p>
    <w:p w:rsidR="00A44EAA" w:rsidRDefault="00A44EAA" w:rsidP="00A44EAA">
      <w:pPr>
        <w:ind w:left="4500" w:firstLine="36"/>
        <w:jc w:val="center"/>
        <w:rPr>
          <w:rFonts w:ascii="Times New Roman" w:hAnsi="Times New Roman"/>
          <w:b/>
          <w:bCs/>
          <w:sz w:val="28"/>
          <w:szCs w:val="28"/>
          <w:lang w:val="az-Latn-AZ"/>
        </w:rPr>
      </w:pPr>
    </w:p>
    <w:p w:rsidR="00A44EAA" w:rsidRDefault="00A44EAA" w:rsidP="00A44EAA">
      <w:pPr>
        <w:ind w:left="4500" w:firstLine="36"/>
        <w:jc w:val="center"/>
        <w:rPr>
          <w:rFonts w:ascii="Times New Roman" w:hAnsi="Times New Roman"/>
          <w:b/>
          <w:bCs/>
          <w:sz w:val="28"/>
          <w:szCs w:val="28"/>
          <w:lang w:val="az-Latn-AZ"/>
        </w:rPr>
      </w:pPr>
    </w:p>
    <w:p w:rsidR="00A44EAA" w:rsidRDefault="00A44EAA" w:rsidP="00A44EAA">
      <w:pPr>
        <w:ind w:firstLine="36"/>
        <w:jc w:val="both"/>
        <w:rPr>
          <w:rFonts w:ascii="Times New Roman" w:hAnsi="Times New Roman"/>
          <w:bCs/>
          <w:sz w:val="28"/>
          <w:szCs w:val="28"/>
          <w:lang w:val="az-Latn-AZ"/>
        </w:rPr>
      </w:pPr>
      <w:r>
        <w:rPr>
          <w:rFonts w:ascii="Times New Roman" w:hAnsi="Times New Roman"/>
          <w:sz w:val="28"/>
          <w:szCs w:val="28"/>
          <w:lang w:val="az-Latn-AZ"/>
        </w:rPr>
        <w:t>Bakı şəhəri, 29 iyun 2018-ci il</w:t>
      </w:r>
      <w:r>
        <w:rPr>
          <w:rFonts w:ascii="Times New Roman" w:hAnsi="Times New Roman"/>
          <w:sz w:val="28"/>
          <w:szCs w:val="28"/>
          <w:lang w:val="az-Latn-AZ"/>
        </w:rPr>
        <w:tab/>
      </w:r>
    </w:p>
    <w:p w:rsidR="00A44EAA" w:rsidRDefault="00A44EAA" w:rsidP="00A44EAA">
      <w:pPr>
        <w:pStyle w:val="a4"/>
        <w:spacing w:after="0"/>
        <w:ind w:right="-1"/>
        <w:jc w:val="both"/>
        <w:rPr>
          <w:rFonts w:ascii="Times New Roman" w:hAnsi="Times New Roman"/>
          <w:sz w:val="28"/>
          <w:szCs w:val="28"/>
          <w:lang w:val="az-Latn-AZ"/>
        </w:rPr>
      </w:pPr>
      <w:r>
        <w:rPr>
          <w:rFonts w:ascii="Times New Roman" w:hAnsi="Times New Roman"/>
          <w:sz w:val="28"/>
          <w:szCs w:val="28"/>
        </w:rPr>
        <w:t>№ 1201-VQ</w:t>
      </w:r>
    </w:p>
    <w:p w:rsidR="00A44EAA" w:rsidRDefault="00A44EAA" w:rsidP="00A44EAA">
      <w:pPr>
        <w:rPr>
          <w:rFonts w:ascii="Times New Roman" w:hAnsi="Times New Roman"/>
          <w:sz w:val="28"/>
          <w:szCs w:val="28"/>
          <w:lang w:val="en-US"/>
        </w:rPr>
      </w:pPr>
    </w:p>
    <w:p w:rsidR="00A44EAA" w:rsidRPr="00136042" w:rsidRDefault="00A44EAA" w:rsidP="00A44EAA">
      <w:pPr>
        <w:rPr>
          <w:rFonts w:ascii="Times New Roman" w:hAnsi="Times New Roman"/>
          <w:sz w:val="28"/>
          <w:szCs w:val="28"/>
        </w:rPr>
      </w:pPr>
    </w:p>
    <w:p w:rsidR="00A44EAA" w:rsidRPr="00136042" w:rsidRDefault="00A44EAA" w:rsidP="00A44EAA">
      <w:pPr>
        <w:rPr>
          <w:rFonts w:ascii="Times New Roman" w:hAnsi="Times New Roman"/>
          <w:sz w:val="28"/>
          <w:szCs w:val="28"/>
        </w:rPr>
      </w:pPr>
    </w:p>
    <w:p w:rsidR="00A44EAA" w:rsidRPr="00136042" w:rsidRDefault="00A44EAA" w:rsidP="00A44EAA">
      <w:pPr>
        <w:rPr>
          <w:rFonts w:ascii="Times New Roman" w:hAnsi="Times New Roman"/>
          <w:sz w:val="28"/>
          <w:szCs w:val="28"/>
        </w:rPr>
      </w:pPr>
    </w:p>
    <w:p w:rsidR="00A44EAA" w:rsidRPr="00136042" w:rsidRDefault="00A44EAA" w:rsidP="00A44EAA">
      <w:pPr>
        <w:rPr>
          <w:rFonts w:ascii="Times New Roman" w:hAnsi="Times New Roman"/>
          <w:sz w:val="28"/>
          <w:szCs w:val="28"/>
        </w:rPr>
      </w:pPr>
    </w:p>
    <w:p w:rsidR="00AF0F64" w:rsidRDefault="00AF0F64">
      <w:bookmarkStart w:id="0" w:name="_GoBack"/>
      <w:bookmarkEnd w:id="0"/>
    </w:p>
    <w:sectPr w:rsidR="00AF0F64" w:rsidSect="002650B9">
      <w:headerReference w:type="default" r:id="rId5"/>
      <w:pgSz w:w="11907" w:h="16839"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B9" w:rsidRDefault="00A44EAA">
    <w:pPr>
      <w:pStyle w:val="a5"/>
      <w:jc w:val="center"/>
    </w:pPr>
    <w:r>
      <w:fldChar w:fldCharType="begin"/>
    </w:r>
    <w:r>
      <w:instrText>PAGE   \* MERGEFORMAT</w:instrText>
    </w:r>
    <w:r>
      <w:fldChar w:fldCharType="separate"/>
    </w:r>
    <w:r w:rsidRPr="00A44EAA">
      <w:rPr>
        <w:noProof/>
        <w:lang w:val="ru-RU"/>
      </w:rPr>
      <w:t>2</w:t>
    </w:r>
    <w:r>
      <w:fldChar w:fldCharType="end"/>
    </w:r>
  </w:p>
  <w:p w:rsidR="002650B9" w:rsidRDefault="00A44E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AA"/>
    <w:rsid w:val="00A44EAA"/>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AA"/>
    <w:pPr>
      <w:spacing w:after="0" w:line="240" w:lineRule="auto"/>
    </w:pPr>
    <w:rPr>
      <w:rFonts w:ascii="Tms Rmn" w:eastAsia="Times New Roman" w:hAnsi="Tms Rm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1,Обычный (веб) Знак2 Знак Знак1,Обычный (веб) Знак1 Знак Знак Знак1,Обычный (веб) Знак Знак Знак Знак Знак1,Знак Знак Знак Знак Знак Знак1,Обычный (веб) Знак Знак1 Знак Знак1"/>
    <w:link w:val="a4"/>
    <w:uiPriority w:val="99"/>
    <w:locked/>
    <w:rsid w:val="00A44EAA"/>
    <w:rPr>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unhideWhenUsed/>
    <w:qFormat/>
    <w:rsid w:val="00A44EAA"/>
    <w:pPr>
      <w:spacing w:after="120"/>
    </w:pPr>
    <w:rPr>
      <w:rFonts w:asciiTheme="minorHAnsi" w:eastAsiaTheme="minorHAnsi" w:hAnsiTheme="minorHAnsi" w:cstheme="minorBidi"/>
      <w:sz w:val="24"/>
      <w:szCs w:val="24"/>
      <w:lang w:val="en-US" w:eastAsia="en-US"/>
    </w:rPr>
  </w:style>
  <w:style w:type="paragraph" w:styleId="a5">
    <w:name w:val="header"/>
    <w:basedOn w:val="a"/>
    <w:link w:val="a6"/>
    <w:uiPriority w:val="99"/>
    <w:unhideWhenUsed/>
    <w:rsid w:val="00A44EAA"/>
    <w:pPr>
      <w:tabs>
        <w:tab w:val="center" w:pos="4677"/>
        <w:tab w:val="right" w:pos="9355"/>
      </w:tabs>
    </w:pPr>
  </w:style>
  <w:style w:type="character" w:customStyle="1" w:styleId="a6">
    <w:name w:val="Верхний колонтитул Знак"/>
    <w:basedOn w:val="a0"/>
    <w:link w:val="a5"/>
    <w:uiPriority w:val="99"/>
    <w:rsid w:val="00A44EAA"/>
    <w:rPr>
      <w:rFonts w:ascii="Tms Rmn" w:eastAsia="Times New Roman" w:hAnsi="Tms Rmn" w:cs="Times New Roman"/>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AA"/>
    <w:pPr>
      <w:spacing w:after="0" w:line="240" w:lineRule="auto"/>
    </w:pPr>
    <w:rPr>
      <w:rFonts w:ascii="Tms Rmn" w:eastAsia="Times New Roman" w:hAnsi="Tms Rm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1,Обычный (веб) Знак2 Знак Знак1,Обычный (веб) Знак1 Знак Знак Знак1,Обычный (веб) Знак Знак Знак Знак Знак1,Знак Знак Знак Знак Знак Знак1,Обычный (веб) Знак Знак1 Знак Знак1"/>
    <w:link w:val="a4"/>
    <w:uiPriority w:val="99"/>
    <w:locked/>
    <w:rsid w:val="00A44EAA"/>
    <w:rPr>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unhideWhenUsed/>
    <w:qFormat/>
    <w:rsid w:val="00A44EAA"/>
    <w:pPr>
      <w:spacing w:after="120"/>
    </w:pPr>
    <w:rPr>
      <w:rFonts w:asciiTheme="minorHAnsi" w:eastAsiaTheme="minorHAnsi" w:hAnsiTheme="minorHAnsi" w:cstheme="minorBidi"/>
      <w:sz w:val="24"/>
      <w:szCs w:val="24"/>
      <w:lang w:val="en-US" w:eastAsia="en-US"/>
    </w:rPr>
  </w:style>
  <w:style w:type="paragraph" w:styleId="a5">
    <w:name w:val="header"/>
    <w:basedOn w:val="a"/>
    <w:link w:val="a6"/>
    <w:uiPriority w:val="99"/>
    <w:unhideWhenUsed/>
    <w:rsid w:val="00A44EAA"/>
    <w:pPr>
      <w:tabs>
        <w:tab w:val="center" w:pos="4677"/>
        <w:tab w:val="right" w:pos="9355"/>
      </w:tabs>
    </w:pPr>
  </w:style>
  <w:style w:type="character" w:customStyle="1" w:styleId="a6">
    <w:name w:val="Верхний колонтитул Знак"/>
    <w:basedOn w:val="a0"/>
    <w:link w:val="a5"/>
    <w:uiPriority w:val="99"/>
    <w:rsid w:val="00A44EAA"/>
    <w:rPr>
      <w:rFonts w:ascii="Tms Rmn" w:eastAsia="Times New Roman" w:hAnsi="Tms Rm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2018-07-19T07:22:00Z</dcterms:created>
  <dcterms:modified xsi:type="dcterms:W3CDTF">2018-07-19T07:22:00Z</dcterms:modified>
</cp:coreProperties>
</file>