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BE" w:rsidRDefault="009711BE" w:rsidP="009711BE">
      <w:pPr>
        <w:jc w:val="center"/>
        <w:rPr>
          <w:rFonts w:ascii="Times New Roman" w:hAnsi="Times New Roman"/>
          <w:b/>
          <w:snapToGrid w:val="0"/>
          <w:sz w:val="32"/>
          <w:szCs w:val="32"/>
          <w:lang w:val="az-Latn-AZ"/>
        </w:rPr>
      </w:pPr>
    </w:p>
    <w:p w:rsidR="009711BE" w:rsidRDefault="009711BE" w:rsidP="009711BE">
      <w:pPr>
        <w:jc w:val="center"/>
        <w:rPr>
          <w:rFonts w:ascii="Times New Roman" w:hAnsi="Times New Roman"/>
          <w:b/>
          <w:snapToGrid w:val="0"/>
          <w:sz w:val="32"/>
          <w:szCs w:val="32"/>
          <w:lang w:val="az-Latn-AZ"/>
        </w:rPr>
      </w:pPr>
    </w:p>
    <w:p w:rsidR="009711BE" w:rsidRDefault="009711BE" w:rsidP="009711BE">
      <w:pPr>
        <w:jc w:val="center"/>
        <w:rPr>
          <w:rFonts w:ascii="Times New Roman" w:hAnsi="Times New Roman"/>
          <w:b/>
          <w:snapToGrid w:val="0"/>
          <w:sz w:val="32"/>
          <w:szCs w:val="32"/>
          <w:lang w:val="az-Latn-AZ"/>
        </w:rPr>
      </w:pPr>
    </w:p>
    <w:p w:rsidR="009711BE" w:rsidRDefault="009711BE" w:rsidP="009711BE">
      <w:pPr>
        <w:jc w:val="center"/>
        <w:rPr>
          <w:rFonts w:ascii="Times New Roman" w:hAnsi="Times New Roman"/>
          <w:b/>
          <w:snapToGrid w:val="0"/>
          <w:sz w:val="32"/>
          <w:szCs w:val="32"/>
          <w:lang w:val="az-Latn-AZ"/>
        </w:rPr>
      </w:pPr>
    </w:p>
    <w:p w:rsidR="009711BE" w:rsidRDefault="009711BE" w:rsidP="009711BE">
      <w:pPr>
        <w:jc w:val="center"/>
        <w:rPr>
          <w:rFonts w:ascii="Times New Roman" w:hAnsi="Times New Roman"/>
          <w:b/>
          <w:snapToGrid w:val="0"/>
          <w:sz w:val="32"/>
          <w:szCs w:val="32"/>
          <w:lang w:val="az-Latn-AZ"/>
        </w:rPr>
      </w:pPr>
    </w:p>
    <w:p w:rsidR="009711BE" w:rsidRDefault="009711BE" w:rsidP="009711BE">
      <w:pPr>
        <w:jc w:val="center"/>
        <w:rPr>
          <w:rFonts w:ascii="Times New Roman" w:hAnsi="Times New Roman"/>
          <w:b/>
          <w:snapToGrid w:val="0"/>
          <w:sz w:val="32"/>
          <w:szCs w:val="32"/>
          <w:lang w:val="az-Latn-AZ"/>
        </w:rPr>
      </w:pPr>
    </w:p>
    <w:p w:rsidR="009711BE" w:rsidRPr="006E586E" w:rsidRDefault="009711BE" w:rsidP="009711BE">
      <w:pPr>
        <w:jc w:val="center"/>
        <w:rPr>
          <w:rFonts w:ascii="Times New Roman" w:hAnsi="Times New Roman"/>
          <w:b/>
          <w:sz w:val="32"/>
          <w:szCs w:val="32"/>
          <w:lang w:val="az-Latn-AZ"/>
        </w:rPr>
      </w:pPr>
      <w:r w:rsidRPr="006E586E">
        <w:rPr>
          <w:rFonts w:ascii="Times New Roman" w:hAnsi="Times New Roman"/>
          <w:b/>
          <w:snapToGrid w:val="0"/>
          <w:sz w:val="32"/>
          <w:szCs w:val="32"/>
          <w:lang w:val="az-Latn-AZ"/>
        </w:rPr>
        <w:t xml:space="preserve">“Xəzər dənizinin Azərbaycan sektorunda “Qarabağ” neft yatağının işlənməsi ilə əlaqədar” </w:t>
      </w:r>
      <w:r w:rsidRPr="006E586E">
        <w:rPr>
          <w:rFonts w:ascii="Times New Roman" w:hAnsi="Times New Roman"/>
          <w:b/>
          <w:sz w:val="32"/>
          <w:szCs w:val="32"/>
          <w:lang w:val="az-Latn-AZ"/>
        </w:rPr>
        <w:t>Azərbaycan Respublikasının Dövlət Neft Şirkəti ilə Statoyl Azərbaycan Qarabağ BV və SOCAR Qarabağ LLSi arasında Risk xidmət Sazişinin qəbul və təsdiq edilməsi, həyata keçirilməsinə icazə verilməsi barədə</w:t>
      </w:r>
    </w:p>
    <w:p w:rsidR="009711BE" w:rsidRDefault="009711BE" w:rsidP="009711BE">
      <w:pPr>
        <w:ind w:firstLine="720"/>
        <w:jc w:val="both"/>
        <w:rPr>
          <w:rFonts w:ascii="Times New Roman" w:hAnsi="Times New Roman"/>
          <w:sz w:val="28"/>
          <w:szCs w:val="28"/>
          <w:lang w:val="az-Latn-AZ"/>
        </w:rPr>
      </w:pPr>
    </w:p>
    <w:p w:rsidR="009711BE" w:rsidRPr="00A524DB" w:rsidRDefault="009711BE" w:rsidP="009711BE">
      <w:pPr>
        <w:jc w:val="center"/>
        <w:rPr>
          <w:b/>
          <w:sz w:val="40"/>
          <w:szCs w:val="40"/>
          <w:lang w:val="az-Latn-AZ"/>
        </w:rPr>
      </w:pPr>
      <w:r w:rsidRPr="00A524DB">
        <w:rPr>
          <w:b/>
          <w:sz w:val="40"/>
          <w:szCs w:val="40"/>
          <w:lang w:val="az-Latn-AZ"/>
        </w:rPr>
        <w:t>AZƏRBAYCAN RESPUBLİKASININ QANUNU</w:t>
      </w:r>
    </w:p>
    <w:p w:rsidR="009711BE" w:rsidRDefault="009711BE" w:rsidP="009711BE">
      <w:pPr>
        <w:rPr>
          <w:b/>
          <w:lang w:val="az-Latn-AZ"/>
        </w:rPr>
      </w:pPr>
    </w:p>
    <w:p w:rsidR="009711BE" w:rsidRPr="006E586E" w:rsidRDefault="009711BE" w:rsidP="009711BE">
      <w:pPr>
        <w:ind w:firstLine="720"/>
        <w:jc w:val="both"/>
        <w:rPr>
          <w:rFonts w:ascii="Times New Roman" w:hAnsi="Times New Roman"/>
          <w:sz w:val="28"/>
          <w:szCs w:val="28"/>
          <w:lang w:val="az-Latn-AZ"/>
        </w:rPr>
      </w:pPr>
    </w:p>
    <w:p w:rsidR="009711BE" w:rsidRPr="006E586E" w:rsidRDefault="009711BE" w:rsidP="009711BE">
      <w:pPr>
        <w:widowControl w:val="0"/>
        <w:jc w:val="both"/>
        <w:rPr>
          <w:rFonts w:ascii="Times New Roman" w:hAnsi="Times New Roman"/>
          <w:sz w:val="28"/>
          <w:szCs w:val="28"/>
          <w:lang w:val="az-Latn-AZ"/>
        </w:rPr>
      </w:pPr>
      <w:r w:rsidRPr="006E586E">
        <w:rPr>
          <w:rFonts w:ascii="Times New Roman" w:hAnsi="Times New Roman"/>
          <w:sz w:val="28"/>
          <w:szCs w:val="28"/>
          <w:lang w:val="az-Latn-AZ"/>
        </w:rPr>
        <w:tab/>
        <w:t>2018-ci il mayın 30-da Azərbaycan Respublikasının Dövlət Neft Şirkəti (</w:t>
      </w:r>
      <w:r>
        <w:rPr>
          <w:rFonts w:ascii="Times New Roman" w:hAnsi="Times New Roman"/>
          <w:sz w:val="28"/>
          <w:szCs w:val="28"/>
          <w:lang w:val="az-Latn-AZ"/>
        </w:rPr>
        <w:t>“</w:t>
      </w:r>
      <w:r w:rsidRPr="006E586E">
        <w:rPr>
          <w:rFonts w:ascii="Times New Roman" w:hAnsi="Times New Roman"/>
          <w:sz w:val="28"/>
          <w:szCs w:val="28"/>
          <w:lang w:val="az-Latn-AZ"/>
        </w:rPr>
        <w:t>SOCAR</w:t>
      </w:r>
      <w:r>
        <w:rPr>
          <w:rFonts w:ascii="Times New Roman" w:hAnsi="Times New Roman"/>
          <w:sz w:val="28"/>
          <w:szCs w:val="28"/>
          <w:lang w:val="az-Latn-AZ"/>
        </w:rPr>
        <w:t>”</w:t>
      </w:r>
      <w:r w:rsidRPr="006E586E">
        <w:rPr>
          <w:rFonts w:ascii="Times New Roman" w:hAnsi="Times New Roman"/>
          <w:sz w:val="28"/>
          <w:szCs w:val="28"/>
          <w:lang w:val="az-Latn-AZ"/>
        </w:rPr>
        <w:t>), Statoyl Azərbaycan Qarabağ BV (“Statoyl”) və SOCAR Qarabağ LLSi (</w:t>
      </w:r>
      <w:r>
        <w:rPr>
          <w:rFonts w:ascii="Times New Roman" w:hAnsi="Times New Roman"/>
          <w:sz w:val="28"/>
          <w:szCs w:val="28"/>
          <w:lang w:val="az-Latn-AZ"/>
        </w:rPr>
        <w:t>“</w:t>
      </w:r>
      <w:r w:rsidRPr="006E586E">
        <w:rPr>
          <w:rFonts w:ascii="Times New Roman" w:hAnsi="Times New Roman"/>
          <w:sz w:val="28"/>
          <w:szCs w:val="28"/>
          <w:lang w:val="az-Latn-AZ"/>
        </w:rPr>
        <w:t>SOCAR Qarabağ</w:t>
      </w:r>
      <w:r>
        <w:rPr>
          <w:rFonts w:ascii="Times New Roman" w:hAnsi="Times New Roman"/>
          <w:sz w:val="28"/>
          <w:szCs w:val="28"/>
          <w:lang w:val="az-Latn-AZ"/>
        </w:rPr>
        <w:t>”</w:t>
      </w:r>
      <w:r w:rsidRPr="006E586E">
        <w:rPr>
          <w:rFonts w:ascii="Times New Roman" w:hAnsi="Times New Roman"/>
          <w:sz w:val="28"/>
          <w:szCs w:val="28"/>
          <w:lang w:val="az-Latn-AZ"/>
        </w:rPr>
        <w:t>) arasında Risk xidməti Sazişi bağlanmışdır.</w:t>
      </w:r>
    </w:p>
    <w:p w:rsidR="009711BE" w:rsidRPr="006E586E" w:rsidRDefault="009711BE" w:rsidP="009711BE">
      <w:pPr>
        <w:widowControl w:val="0"/>
        <w:jc w:val="both"/>
        <w:rPr>
          <w:rFonts w:ascii="Times New Roman" w:hAnsi="Times New Roman"/>
          <w:sz w:val="28"/>
          <w:szCs w:val="28"/>
          <w:lang w:val="az-Latn-AZ"/>
        </w:rPr>
      </w:pP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 xml:space="preserve">Azərbaycan Respublikasının Milli Məclisi Azərbaycan Respublikasının Konstitusiyasının 95-ci maddəsinin I hissəsinin 4-cü bəndini rəhbər tutaraq </w:t>
      </w:r>
      <w:r w:rsidRPr="006E586E">
        <w:rPr>
          <w:rFonts w:ascii="Times New Roman" w:hAnsi="Times New Roman"/>
          <w:b/>
          <w:sz w:val="28"/>
          <w:szCs w:val="28"/>
          <w:lang w:val="az-Latn-AZ"/>
        </w:rPr>
        <w:t>qərara alır</w:t>
      </w:r>
      <w:r w:rsidRPr="006E586E">
        <w:rPr>
          <w:rFonts w:ascii="Times New Roman" w:hAnsi="Times New Roman"/>
          <w:sz w:val="28"/>
          <w:szCs w:val="28"/>
          <w:lang w:val="az-Latn-AZ"/>
        </w:rPr>
        <w:t xml:space="preserve">: </w:t>
      </w:r>
    </w:p>
    <w:p w:rsidR="009711BE" w:rsidRPr="006E586E" w:rsidRDefault="009711BE" w:rsidP="009711BE">
      <w:pPr>
        <w:widowControl w:val="0"/>
        <w:jc w:val="both"/>
        <w:rPr>
          <w:rFonts w:ascii="Times New Roman" w:hAnsi="Times New Roman"/>
          <w:sz w:val="28"/>
          <w:szCs w:val="28"/>
          <w:lang w:val="az-Latn-AZ"/>
        </w:rPr>
      </w:pPr>
      <w:r w:rsidRPr="006E586E">
        <w:rPr>
          <w:rFonts w:ascii="Times New Roman" w:hAnsi="Times New Roman"/>
          <w:sz w:val="28"/>
          <w:szCs w:val="28"/>
          <w:lang w:val="az-Latn-AZ"/>
        </w:rPr>
        <w:tab/>
        <w:t xml:space="preserve">1. </w:t>
      </w:r>
      <w:r>
        <w:rPr>
          <w:rFonts w:ascii="Times New Roman" w:hAnsi="Times New Roman"/>
          <w:sz w:val="28"/>
          <w:szCs w:val="28"/>
          <w:lang w:val="az-Latn-AZ"/>
        </w:rPr>
        <w:t>“</w:t>
      </w:r>
      <w:r w:rsidRPr="006E586E">
        <w:rPr>
          <w:rFonts w:ascii="Times New Roman" w:hAnsi="Times New Roman"/>
          <w:sz w:val="28"/>
          <w:szCs w:val="28"/>
          <w:lang w:val="az-Latn-AZ" w:eastAsia="fr-FR"/>
        </w:rPr>
        <w:t xml:space="preserve">Xəzər dənizinin Azərbaycan sektorunda </w:t>
      </w:r>
      <w:r>
        <w:rPr>
          <w:rFonts w:ascii="Times New Roman" w:hAnsi="Times New Roman"/>
          <w:sz w:val="28"/>
          <w:szCs w:val="28"/>
          <w:lang w:val="az-Latn-AZ" w:eastAsia="fr-FR"/>
        </w:rPr>
        <w:t>“</w:t>
      </w:r>
      <w:r w:rsidRPr="006E586E">
        <w:rPr>
          <w:rFonts w:ascii="Times New Roman" w:hAnsi="Times New Roman"/>
          <w:sz w:val="28"/>
          <w:szCs w:val="28"/>
          <w:lang w:val="az-Latn-AZ" w:eastAsia="fr-FR"/>
        </w:rPr>
        <w:t>Qarabağ” neft yatağının işlənməsi</w:t>
      </w:r>
      <w:r w:rsidRPr="006E586E">
        <w:rPr>
          <w:rFonts w:ascii="Times New Roman" w:hAnsi="Times New Roman"/>
          <w:sz w:val="28"/>
          <w:szCs w:val="28"/>
          <w:lang w:val="az-Latn-AZ" w:eastAsia="en-US"/>
        </w:rPr>
        <w:t xml:space="preserve"> haqqında</w:t>
      </w:r>
      <w:r w:rsidRPr="006E586E">
        <w:rPr>
          <w:rFonts w:ascii="Times New Roman" w:hAnsi="Times New Roman"/>
          <w:snapToGrid w:val="0"/>
          <w:sz w:val="28"/>
          <w:szCs w:val="28"/>
          <w:lang w:val="az-Latn-AZ"/>
        </w:rPr>
        <w:t xml:space="preserve">” </w:t>
      </w:r>
      <w:r w:rsidRPr="006E586E">
        <w:rPr>
          <w:rFonts w:ascii="Times New Roman" w:hAnsi="Times New Roman"/>
          <w:sz w:val="28"/>
          <w:szCs w:val="28"/>
          <w:lang w:val="az-Latn-AZ"/>
        </w:rPr>
        <w:t>Azərbaycan Respublikasının Dövlət Neft Şirkəti ilə Statoyl Azərbaycan Qarabağ BV və SOCAR Qarabağ LLSi arasında Risk xidməti Sazişi (bundan sonra - Saziş) qəbul və təsdiq edilsin, onun həyata keçirilməsinə icazə verilsin.</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2. Azərbaycan Respublikasının Nazirlər Kabineti tərəfindən Sazişdə iştirak edən Podratçılara verilən Azərbaycan Respublikası Hökumətinin təminatı və öhdəlikləri (bundan sonra - Hökumət təminatı) qəbul edilsin və onların həyata keçirilməsinə icazə verilsin.</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3. Sazişin əsas mətninə edilmiş on iki (12) Əlavə (bundan sonra - Əlavələr) qəbul edilsin və onların həyata keçirilməsinə icazə verilsin.</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4. Bu Qanun qüvvəyə mindikdən sonra Saziş, Hökumət təminatı və Əlavələr Qanun olurlar. Sazişdə konkret surətdə başqa hallar göstərilməyibsə, Saziş, Hökumət təminatı və Əlavələr Sazişin qüvvədə olduğu müddət ərzində bu Sazişə, Hökumət təminatına və Əlavələrə uyğun gəlməyən və ya zidd olan Azərbaycan Respublikasının hər hansı başqa mövcud və ya qəbul oluna biləcək qanunlarının, fərmanlarının, yaxud inzibati sərəncamlarının (və ya onların hissələrinin) müddəalarından üstün tutulur.</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 xml:space="preserve">5. Bu Qanun qüvvəyə mindikdən sonra Sazişdə nəzərdə tutulan kontrakt sahəsinin istənilən hissəsi barəsində əvvəllər bağlanmış hər hansı saziş, kontrakt və ya bu cür başqa sənədlə verilə bilən bütün digər hüquq və vəzifələr ləğv edilir, habelə bu Qanun qüvvəyə mindikdən sonra Sazişin, Hökumət təminatının və Əlavələrin </w:t>
      </w:r>
      <w:r w:rsidRPr="006E586E">
        <w:rPr>
          <w:rFonts w:ascii="Times New Roman" w:hAnsi="Times New Roman"/>
          <w:sz w:val="28"/>
          <w:szCs w:val="28"/>
          <w:lang w:val="az-Latn-AZ"/>
        </w:rPr>
        <w:lastRenderedPageBreak/>
        <w:t>şərtlərinə müvafiq surətdə və qüvvədə olduğu bütün müddət ərzində Sazişin pay iştirakçılarına kontrakt sahəsində neft-qaz əməliyyatları aparmaq üçün müstəsna hüquq verilir.</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6. Bu Qanun qüvvəyə mindikdən sonra Podratçının (və ya onun hüquq varislərinin) Saziş, Hökumət təminatı və Əlavələr üzrə əldə etdiyi hüquqlar və mənafelər Podratçının qabaqcadan razılığı olmadan dəyişdirilə, düzəldilə və ya azaldıla bilməz.</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7. Sazişdən irəli gələn hüquq və öhdəliklərin yerinə yetirilməsi üçün Sazişin iştirakçılarına bütün lazımi lisenziyalar, gömrük icazələri, vizalar, başqa səlahiyyətlər və sanksiyalar verilir.</w:t>
      </w:r>
    </w:p>
    <w:p w:rsidR="009711BE" w:rsidRPr="006E586E" w:rsidRDefault="009711BE" w:rsidP="009711BE">
      <w:pPr>
        <w:ind w:firstLine="720"/>
        <w:jc w:val="both"/>
        <w:rPr>
          <w:rFonts w:ascii="Times New Roman" w:hAnsi="Times New Roman"/>
          <w:sz w:val="28"/>
          <w:szCs w:val="28"/>
          <w:lang w:val="az-Latn-AZ"/>
        </w:rPr>
      </w:pPr>
      <w:r w:rsidRPr="006E586E">
        <w:rPr>
          <w:rFonts w:ascii="Times New Roman" w:hAnsi="Times New Roman"/>
          <w:sz w:val="28"/>
          <w:szCs w:val="28"/>
          <w:lang w:val="az-Latn-AZ"/>
        </w:rPr>
        <w:t>8. Sazişə və ya Əlavələrə hər hansı əlavələr, düzəlişlər, dəyişikliklər yalnız Sazişin və Əlavələrin tərəflərinin yazılı razılığı ilə edilir.</w:t>
      </w:r>
    </w:p>
    <w:p w:rsidR="009711BE" w:rsidRPr="006E586E" w:rsidRDefault="009711BE" w:rsidP="009711BE">
      <w:pPr>
        <w:jc w:val="both"/>
        <w:rPr>
          <w:rFonts w:ascii="Times New Roman" w:hAnsi="Times New Roman"/>
          <w:sz w:val="28"/>
          <w:szCs w:val="28"/>
          <w:lang w:val="az-Latn-AZ"/>
        </w:rPr>
      </w:pPr>
    </w:p>
    <w:p w:rsidR="009711BE" w:rsidRPr="006E586E" w:rsidRDefault="009711BE" w:rsidP="009711BE">
      <w:pPr>
        <w:jc w:val="both"/>
        <w:rPr>
          <w:rFonts w:ascii="Times New Roman" w:hAnsi="Times New Roman"/>
          <w:b/>
          <w:sz w:val="28"/>
          <w:szCs w:val="28"/>
          <w:lang w:val="az-Latn-AZ"/>
        </w:rPr>
      </w:pPr>
    </w:p>
    <w:p w:rsidR="009711BE" w:rsidRDefault="009711BE" w:rsidP="009711BE">
      <w:pPr>
        <w:jc w:val="both"/>
        <w:rPr>
          <w:rFonts w:ascii="Times New Roman" w:hAnsi="Times New Roman"/>
          <w:b/>
          <w:sz w:val="28"/>
          <w:szCs w:val="28"/>
          <w:lang w:val="az-Latn-AZ"/>
        </w:rPr>
      </w:pPr>
      <w:r w:rsidRPr="006E586E">
        <w:rPr>
          <w:rFonts w:ascii="Times New Roman" w:hAnsi="Times New Roman"/>
          <w:b/>
          <w:sz w:val="28"/>
          <w:szCs w:val="28"/>
          <w:lang w:val="az-Latn-AZ"/>
        </w:rPr>
        <w:t xml:space="preserve">               </w:t>
      </w:r>
    </w:p>
    <w:p w:rsidR="009711BE" w:rsidRPr="006E586E" w:rsidRDefault="009711BE" w:rsidP="009711BE">
      <w:pPr>
        <w:jc w:val="both"/>
        <w:rPr>
          <w:rFonts w:ascii="Times New Roman" w:hAnsi="Times New Roman"/>
          <w:b/>
          <w:sz w:val="28"/>
          <w:szCs w:val="28"/>
          <w:lang w:val="az-Latn-AZ"/>
        </w:rPr>
      </w:pPr>
    </w:p>
    <w:p w:rsidR="009711BE" w:rsidRPr="006E586E" w:rsidRDefault="009711BE" w:rsidP="009711BE">
      <w:pPr>
        <w:jc w:val="both"/>
        <w:rPr>
          <w:rFonts w:ascii="Times New Roman" w:hAnsi="Times New Roman"/>
          <w:b/>
          <w:sz w:val="28"/>
          <w:szCs w:val="28"/>
          <w:lang w:val="az-Latn-AZ"/>
        </w:rPr>
      </w:pPr>
    </w:p>
    <w:p w:rsidR="009711BE" w:rsidRDefault="009711BE" w:rsidP="009711BE">
      <w:pPr>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9711BE" w:rsidRDefault="009711BE" w:rsidP="009711BE">
      <w:pPr>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9711BE" w:rsidRDefault="009711BE" w:rsidP="009711BE">
      <w:pPr>
        <w:ind w:left="4500" w:firstLine="36"/>
        <w:jc w:val="center"/>
        <w:rPr>
          <w:rFonts w:ascii="Times New Roman" w:hAnsi="Times New Roman"/>
          <w:b/>
          <w:bCs/>
          <w:sz w:val="28"/>
          <w:szCs w:val="28"/>
          <w:lang w:val="az-Latn-AZ"/>
        </w:rPr>
      </w:pPr>
    </w:p>
    <w:p w:rsidR="009711BE" w:rsidRDefault="009711BE" w:rsidP="009711BE">
      <w:pPr>
        <w:ind w:left="4500" w:firstLine="36"/>
        <w:jc w:val="center"/>
        <w:rPr>
          <w:rFonts w:ascii="Times New Roman" w:hAnsi="Times New Roman"/>
          <w:b/>
          <w:bCs/>
          <w:sz w:val="28"/>
          <w:szCs w:val="28"/>
          <w:lang w:val="az-Latn-AZ"/>
        </w:rPr>
      </w:pPr>
    </w:p>
    <w:p w:rsidR="009711BE" w:rsidRPr="00BF576A" w:rsidRDefault="009711BE" w:rsidP="009711BE">
      <w:pPr>
        <w:ind w:firstLine="36"/>
        <w:jc w:val="both"/>
        <w:rPr>
          <w:rFonts w:ascii="Times New Roman" w:hAnsi="Times New Roman"/>
          <w:bCs/>
          <w:sz w:val="28"/>
          <w:szCs w:val="28"/>
          <w:lang w:val="az-Latn-AZ"/>
        </w:rPr>
      </w:pPr>
      <w:r w:rsidRPr="00BF576A">
        <w:rPr>
          <w:rFonts w:ascii="Times New Roman" w:hAnsi="Times New Roman"/>
          <w:sz w:val="28"/>
          <w:szCs w:val="28"/>
          <w:lang w:val="az-Latn-AZ"/>
        </w:rPr>
        <w:t>Bakı şəhəri, 29 iyun 2018-ci il</w:t>
      </w:r>
      <w:r w:rsidRPr="00BF576A">
        <w:rPr>
          <w:rFonts w:ascii="Times New Roman" w:hAnsi="Times New Roman"/>
          <w:sz w:val="28"/>
          <w:szCs w:val="28"/>
          <w:lang w:val="az-Latn-AZ"/>
        </w:rPr>
        <w:tab/>
      </w:r>
    </w:p>
    <w:p w:rsidR="009711BE" w:rsidRPr="00BF576A" w:rsidRDefault="009711BE" w:rsidP="009711BE">
      <w:pPr>
        <w:pStyle w:val="a4"/>
        <w:spacing w:after="0"/>
        <w:ind w:right="-1"/>
        <w:jc w:val="both"/>
        <w:rPr>
          <w:rFonts w:ascii="Times New Roman" w:hAnsi="Times New Roman"/>
          <w:sz w:val="28"/>
          <w:szCs w:val="28"/>
          <w:lang w:val="az-Latn-AZ"/>
        </w:rPr>
      </w:pPr>
      <w:r>
        <w:rPr>
          <w:rFonts w:ascii="Times New Roman" w:hAnsi="Times New Roman"/>
          <w:sz w:val="28"/>
          <w:szCs w:val="28"/>
        </w:rPr>
        <w:t>№ 1202-VQ</w:t>
      </w:r>
    </w:p>
    <w:p w:rsidR="009711BE" w:rsidRPr="00BF576A" w:rsidRDefault="009711BE" w:rsidP="009711BE">
      <w:pPr>
        <w:rPr>
          <w:rFonts w:ascii="Times New Roman" w:hAnsi="Times New Roman"/>
          <w:sz w:val="28"/>
          <w:szCs w:val="28"/>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lang w:val="az-Latn-AZ"/>
        </w:rPr>
      </w:pPr>
    </w:p>
    <w:p w:rsidR="009711BE" w:rsidRPr="006E586E" w:rsidRDefault="009711BE" w:rsidP="009711BE">
      <w:pPr>
        <w:rPr>
          <w:rFonts w:ascii="Times New Roman" w:hAnsi="Times New Roman"/>
          <w:sz w:val="28"/>
          <w:szCs w:val="28"/>
        </w:rPr>
      </w:pPr>
    </w:p>
    <w:p w:rsidR="00AF0F64" w:rsidRDefault="00AF0F64">
      <w:bookmarkStart w:id="0" w:name="_GoBack"/>
      <w:bookmarkEnd w:id="0"/>
    </w:p>
    <w:sectPr w:rsidR="00AF0F64" w:rsidSect="004C30C8">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C8" w:rsidRDefault="009711BE">
    <w:pPr>
      <w:pStyle w:val="a5"/>
      <w:jc w:val="center"/>
    </w:pPr>
    <w:r>
      <w:fldChar w:fldCharType="begin"/>
    </w:r>
    <w:r>
      <w:instrText>PAGE   \* MERGEFORMAT</w:instrText>
    </w:r>
    <w:r>
      <w:fldChar w:fldCharType="separate"/>
    </w:r>
    <w:r w:rsidRPr="009711BE">
      <w:rPr>
        <w:noProof/>
        <w:lang w:val="ru-RU"/>
      </w:rPr>
      <w:t>2</w:t>
    </w:r>
    <w:r>
      <w:fldChar w:fldCharType="end"/>
    </w:r>
  </w:p>
  <w:p w:rsidR="004C30C8" w:rsidRDefault="009711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E"/>
    <w:rsid w:val="009711BE"/>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BE"/>
    <w:pPr>
      <w:spacing w:after="0" w:line="240" w:lineRule="auto"/>
    </w:pPr>
    <w:rPr>
      <w:rFonts w:ascii="Tms Rmn" w:eastAsia="Times New Roman" w:hAnsi="Tms Rm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1,Обычный (веб) Знак2 Знак Знак1,Обычный (веб) Знак1 Знак Знак Знак1,Обычный (веб) Знак Знак Знак Знак Знак1,Знак Знак Знак Знак Знак Знак1,Обычный (веб) Знак Знак1 Знак Знак1"/>
    <w:link w:val="a4"/>
    <w:uiPriority w:val="99"/>
    <w:locked/>
    <w:rsid w:val="009711BE"/>
    <w:rPr>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unhideWhenUsed/>
    <w:qFormat/>
    <w:rsid w:val="009711BE"/>
    <w:pPr>
      <w:spacing w:after="120"/>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9711BE"/>
    <w:pPr>
      <w:tabs>
        <w:tab w:val="center" w:pos="4677"/>
        <w:tab w:val="right" w:pos="9355"/>
      </w:tabs>
    </w:pPr>
  </w:style>
  <w:style w:type="character" w:customStyle="1" w:styleId="a6">
    <w:name w:val="Верхний колонтитул Знак"/>
    <w:basedOn w:val="a0"/>
    <w:link w:val="a5"/>
    <w:uiPriority w:val="99"/>
    <w:rsid w:val="009711BE"/>
    <w:rPr>
      <w:rFonts w:ascii="Tms Rmn" w:eastAsia="Times New Roman" w:hAnsi="Tms Rm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BE"/>
    <w:pPr>
      <w:spacing w:after="0" w:line="240" w:lineRule="auto"/>
    </w:pPr>
    <w:rPr>
      <w:rFonts w:ascii="Tms Rmn" w:eastAsia="Times New Roman" w:hAnsi="Tms Rm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1,Обычный (веб) Знак2 Знак Знак1,Обычный (веб) Знак1 Знак Знак Знак1,Обычный (веб) Знак Знак Знак Знак Знак1,Знак Знак Знак Знак Знак Знак1,Обычный (веб) Знак Знак1 Знак Знак1"/>
    <w:link w:val="a4"/>
    <w:uiPriority w:val="99"/>
    <w:locked/>
    <w:rsid w:val="009711BE"/>
    <w:rPr>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unhideWhenUsed/>
    <w:qFormat/>
    <w:rsid w:val="009711BE"/>
    <w:pPr>
      <w:spacing w:after="120"/>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9711BE"/>
    <w:pPr>
      <w:tabs>
        <w:tab w:val="center" w:pos="4677"/>
        <w:tab w:val="right" w:pos="9355"/>
      </w:tabs>
    </w:pPr>
  </w:style>
  <w:style w:type="character" w:customStyle="1" w:styleId="a6">
    <w:name w:val="Верхний колонтитул Знак"/>
    <w:basedOn w:val="a0"/>
    <w:link w:val="a5"/>
    <w:uiPriority w:val="99"/>
    <w:rsid w:val="009711BE"/>
    <w:rPr>
      <w:rFonts w:ascii="Tms Rmn" w:eastAsia="Times New Roman" w:hAnsi="Tms Rm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2018-08-06T05:29:00Z</dcterms:created>
  <dcterms:modified xsi:type="dcterms:W3CDTF">2018-08-06T05:29:00Z</dcterms:modified>
</cp:coreProperties>
</file>