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63B" w:rsidRDefault="000B263B" w:rsidP="000B263B">
      <w:pPr>
        <w:ind w:right="49"/>
        <w:jc w:val="center"/>
        <w:rPr>
          <w:rFonts w:eastAsia="Calibri"/>
          <w:b/>
          <w:sz w:val="28"/>
          <w:szCs w:val="28"/>
          <w:lang w:val="az-Latn-AZ" w:eastAsia="en-US"/>
        </w:rPr>
      </w:pPr>
    </w:p>
    <w:p w:rsidR="000B263B" w:rsidRDefault="000B263B" w:rsidP="000B263B">
      <w:pPr>
        <w:ind w:right="-143"/>
        <w:jc w:val="center"/>
        <w:rPr>
          <w:rFonts w:eastAsia="Calibri"/>
          <w:b/>
          <w:sz w:val="28"/>
          <w:szCs w:val="28"/>
          <w:lang w:val="az-Latn-AZ" w:eastAsia="en-US"/>
        </w:rPr>
      </w:pPr>
    </w:p>
    <w:p w:rsidR="000B263B" w:rsidRDefault="000B263B" w:rsidP="000B263B">
      <w:pPr>
        <w:ind w:right="-143"/>
        <w:jc w:val="center"/>
        <w:rPr>
          <w:rFonts w:eastAsia="Calibri"/>
          <w:b/>
          <w:sz w:val="28"/>
          <w:szCs w:val="28"/>
          <w:lang w:val="az-Latn-AZ" w:eastAsia="en-US"/>
        </w:rPr>
      </w:pPr>
    </w:p>
    <w:p w:rsidR="000B263B" w:rsidRDefault="000B263B" w:rsidP="000B263B">
      <w:pPr>
        <w:ind w:right="-143"/>
        <w:jc w:val="center"/>
        <w:rPr>
          <w:rFonts w:eastAsia="Calibri"/>
          <w:b/>
          <w:sz w:val="28"/>
          <w:szCs w:val="28"/>
          <w:lang w:val="az-Latn-AZ" w:eastAsia="en-US"/>
        </w:rPr>
      </w:pPr>
    </w:p>
    <w:p w:rsidR="000B263B" w:rsidRPr="00920E80" w:rsidRDefault="000B263B" w:rsidP="000B263B">
      <w:pPr>
        <w:ind w:right="-143"/>
        <w:jc w:val="center"/>
        <w:rPr>
          <w:rFonts w:eastAsia="Calibri"/>
          <w:b/>
          <w:sz w:val="32"/>
          <w:szCs w:val="32"/>
          <w:lang w:val="az-Latn-AZ" w:eastAsia="en-US"/>
        </w:rPr>
      </w:pPr>
    </w:p>
    <w:p w:rsidR="000B263B" w:rsidRPr="00920E80" w:rsidRDefault="000B263B" w:rsidP="000B263B">
      <w:pPr>
        <w:ind w:right="-143"/>
        <w:jc w:val="center"/>
        <w:rPr>
          <w:rFonts w:eastAsia="Calibri"/>
          <w:b/>
          <w:sz w:val="32"/>
          <w:szCs w:val="32"/>
          <w:lang w:val="az-Latn-AZ" w:eastAsia="en-US"/>
        </w:rPr>
      </w:pPr>
    </w:p>
    <w:p w:rsidR="000B263B" w:rsidRDefault="000B263B" w:rsidP="000B263B">
      <w:pPr>
        <w:jc w:val="center"/>
        <w:rPr>
          <w:b/>
          <w:sz w:val="32"/>
          <w:szCs w:val="32"/>
          <w:lang w:val="az-Latn-AZ"/>
        </w:rPr>
      </w:pPr>
      <w:r>
        <w:rPr>
          <w:b/>
          <w:sz w:val="32"/>
          <w:szCs w:val="32"/>
          <w:lang w:val="az-Latn-AZ"/>
        </w:rPr>
        <w:t xml:space="preserve">“Cinayət işləri üzrə maddi sübutlar olan narkotik vasitələrin, </w:t>
      </w:r>
      <w:proofErr w:type="spellStart"/>
      <w:r>
        <w:rPr>
          <w:b/>
          <w:sz w:val="32"/>
          <w:szCs w:val="32"/>
          <w:lang w:val="az-Latn-AZ"/>
        </w:rPr>
        <w:t>psixotrop</w:t>
      </w:r>
      <w:proofErr w:type="spellEnd"/>
      <w:r>
        <w:rPr>
          <w:b/>
          <w:sz w:val="32"/>
          <w:szCs w:val="32"/>
          <w:lang w:val="az-Latn-AZ"/>
        </w:rPr>
        <w:t xml:space="preserve"> maddələrin və onların </w:t>
      </w:r>
      <w:proofErr w:type="spellStart"/>
      <w:r>
        <w:rPr>
          <w:b/>
          <w:sz w:val="32"/>
          <w:szCs w:val="32"/>
          <w:lang w:val="az-Latn-AZ"/>
        </w:rPr>
        <w:t>prekursorlarının</w:t>
      </w:r>
      <w:proofErr w:type="spellEnd"/>
      <w:r>
        <w:rPr>
          <w:b/>
          <w:sz w:val="32"/>
          <w:szCs w:val="32"/>
          <w:lang w:val="az-Latn-AZ"/>
        </w:rPr>
        <w:t>, odlu silahın,     onun əsas hissələrinin, hərbi sursatların, partlayıcı maddələrin           və partlayıcı qurğuların verilməsi qaydası haqqında”                                              Protokolun təsdiq edilməsi barədə</w:t>
      </w:r>
    </w:p>
    <w:p w:rsidR="000B263B" w:rsidRDefault="000B263B" w:rsidP="000B263B">
      <w:pPr>
        <w:jc w:val="center"/>
        <w:rPr>
          <w:b/>
          <w:sz w:val="32"/>
          <w:szCs w:val="32"/>
          <w:lang w:val="az-Latn-AZ"/>
        </w:rPr>
      </w:pPr>
    </w:p>
    <w:p w:rsidR="000B263B" w:rsidRDefault="000B263B" w:rsidP="000B263B">
      <w:pPr>
        <w:jc w:val="center"/>
        <w:rPr>
          <w:b/>
          <w:sz w:val="28"/>
          <w:szCs w:val="28"/>
          <w:lang w:val="az-Latn-AZ"/>
        </w:rPr>
      </w:pPr>
      <w:r>
        <w:rPr>
          <w:b/>
          <w:sz w:val="44"/>
          <w:szCs w:val="44"/>
          <w:lang w:val="az-Latn-AZ"/>
        </w:rPr>
        <w:t>AZƏRBAYCAN RESPUBLİKASININ QANUNU</w:t>
      </w:r>
    </w:p>
    <w:p w:rsidR="000B263B" w:rsidRDefault="000B263B" w:rsidP="000B263B">
      <w:pPr>
        <w:jc w:val="center"/>
        <w:rPr>
          <w:b/>
          <w:sz w:val="32"/>
          <w:szCs w:val="32"/>
          <w:lang w:val="az-Latn-AZ"/>
        </w:rPr>
      </w:pPr>
    </w:p>
    <w:p w:rsidR="000B263B" w:rsidRPr="00920E80" w:rsidRDefault="000B263B" w:rsidP="000B263B">
      <w:pPr>
        <w:ind w:right="-143"/>
        <w:jc w:val="center"/>
        <w:rPr>
          <w:rFonts w:eastAsia="Calibri"/>
          <w:b/>
          <w:sz w:val="28"/>
          <w:szCs w:val="28"/>
          <w:lang w:val="az-Latn-AZ" w:eastAsia="en-US"/>
        </w:rPr>
      </w:pPr>
    </w:p>
    <w:p w:rsidR="000B263B" w:rsidRPr="00920E80" w:rsidRDefault="000B263B" w:rsidP="000B263B">
      <w:pPr>
        <w:ind w:right="-143"/>
        <w:jc w:val="center"/>
        <w:rPr>
          <w:b/>
          <w:sz w:val="28"/>
          <w:szCs w:val="28"/>
          <w:lang w:val="az-Latn-AZ"/>
        </w:rPr>
      </w:pPr>
    </w:p>
    <w:p w:rsidR="000B263B" w:rsidRDefault="000B263B" w:rsidP="000B263B">
      <w:pPr>
        <w:ind w:right="57"/>
        <w:jc w:val="both"/>
        <w:rPr>
          <w:sz w:val="28"/>
          <w:szCs w:val="28"/>
          <w:lang w:val="az-Latn-AZ" w:eastAsia="ja-JP"/>
        </w:rPr>
      </w:pPr>
      <w:r>
        <w:rPr>
          <w:sz w:val="28"/>
          <w:szCs w:val="28"/>
          <w:lang w:val="az-Latn-AZ"/>
        </w:rPr>
        <w:tab/>
        <w:t>Azərbaycan Respublikasının Milli Məclisi Azərbaycan Respublikası Konstitusiyasının 95-ci maddəsinin I hissəsinin 4-cü bəndini</w:t>
      </w:r>
      <w:r>
        <w:rPr>
          <w:sz w:val="32"/>
          <w:szCs w:val="32"/>
          <w:lang w:val="az-Latn-AZ"/>
        </w:rPr>
        <w:t xml:space="preserve"> </w:t>
      </w:r>
      <w:r>
        <w:rPr>
          <w:sz w:val="28"/>
          <w:szCs w:val="28"/>
          <w:lang w:val="az-Latn-AZ"/>
        </w:rPr>
        <w:t xml:space="preserve">rəhbər tutaraq                         </w:t>
      </w:r>
      <w:r>
        <w:rPr>
          <w:b/>
          <w:sz w:val="28"/>
          <w:szCs w:val="28"/>
          <w:lang w:val="az-Latn-AZ"/>
        </w:rPr>
        <w:t xml:space="preserve">q ə r a r a   </w:t>
      </w:r>
      <w:proofErr w:type="spellStart"/>
      <w:r>
        <w:rPr>
          <w:b/>
          <w:sz w:val="28"/>
          <w:szCs w:val="28"/>
          <w:lang w:val="az-Latn-AZ"/>
        </w:rPr>
        <w:t>a</w:t>
      </w:r>
      <w:proofErr w:type="spellEnd"/>
      <w:r>
        <w:rPr>
          <w:b/>
          <w:sz w:val="28"/>
          <w:szCs w:val="28"/>
          <w:lang w:val="az-Latn-AZ"/>
        </w:rPr>
        <w:t xml:space="preserve"> l ı r</w:t>
      </w:r>
      <w:r>
        <w:rPr>
          <w:b/>
          <w:sz w:val="28"/>
          <w:szCs w:val="28"/>
          <w:lang w:val="az-Latn-AZ" w:eastAsia="ja-JP"/>
        </w:rPr>
        <w:t>:</w:t>
      </w:r>
    </w:p>
    <w:p w:rsidR="000B263B" w:rsidRDefault="000B263B" w:rsidP="000B263B">
      <w:pPr>
        <w:ind w:right="-143"/>
        <w:jc w:val="both"/>
        <w:rPr>
          <w:sz w:val="28"/>
          <w:szCs w:val="28"/>
          <w:lang w:val="az-Latn-AZ" w:eastAsia="ja-JP"/>
        </w:rPr>
      </w:pPr>
    </w:p>
    <w:p w:rsidR="000B263B" w:rsidRDefault="000B263B" w:rsidP="000B263B">
      <w:pPr>
        <w:ind w:firstLine="720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Müstəqil Dövlətlər Birliyi Hökumət Başçıları Şurasının </w:t>
      </w:r>
      <w:proofErr w:type="spellStart"/>
      <w:r>
        <w:rPr>
          <w:sz w:val="28"/>
          <w:szCs w:val="28"/>
          <w:lang w:val="az-Latn-AZ"/>
        </w:rPr>
        <w:t>Soçi</w:t>
      </w:r>
      <w:proofErr w:type="spellEnd"/>
      <w:r>
        <w:rPr>
          <w:sz w:val="28"/>
          <w:szCs w:val="28"/>
          <w:lang w:val="az-Latn-AZ"/>
        </w:rPr>
        <w:t xml:space="preserve"> şəhərində keçirilmiş 2017-ci il 11 oktyabr tarixli iclasında imzalanmış </w:t>
      </w:r>
      <w:r w:rsidRPr="003C6B6D">
        <w:rPr>
          <w:sz w:val="28"/>
          <w:szCs w:val="28"/>
          <w:lang w:val="az-Latn-AZ"/>
        </w:rPr>
        <w:t xml:space="preserve">“Cinayət işləri üzrə maddi sübutlar olan narkotik vasitələrin, </w:t>
      </w:r>
      <w:proofErr w:type="spellStart"/>
      <w:r w:rsidRPr="003C6B6D">
        <w:rPr>
          <w:sz w:val="28"/>
          <w:szCs w:val="28"/>
          <w:lang w:val="az-Latn-AZ"/>
        </w:rPr>
        <w:t>psixotrop</w:t>
      </w:r>
      <w:proofErr w:type="spellEnd"/>
      <w:r w:rsidRPr="003C6B6D">
        <w:rPr>
          <w:sz w:val="28"/>
          <w:szCs w:val="28"/>
          <w:lang w:val="az-Latn-AZ"/>
        </w:rPr>
        <w:t xml:space="preserve"> maddələrin və onların </w:t>
      </w:r>
      <w:proofErr w:type="spellStart"/>
      <w:r w:rsidRPr="003C6B6D">
        <w:rPr>
          <w:sz w:val="28"/>
          <w:szCs w:val="28"/>
          <w:lang w:val="az-Latn-AZ"/>
        </w:rPr>
        <w:t>prekursorlarının</w:t>
      </w:r>
      <w:proofErr w:type="spellEnd"/>
      <w:r w:rsidRPr="003C6B6D">
        <w:rPr>
          <w:sz w:val="28"/>
          <w:szCs w:val="28"/>
          <w:lang w:val="az-Latn-AZ"/>
        </w:rPr>
        <w:t xml:space="preserve">, odlu silahın, onun əsas hissələrinin, hərbi sursatların, partlayıcı maddələrin </w:t>
      </w:r>
      <w:r>
        <w:rPr>
          <w:sz w:val="28"/>
          <w:szCs w:val="28"/>
          <w:lang w:val="az-Latn-AZ"/>
        </w:rPr>
        <w:t>və</w:t>
      </w:r>
      <w:r w:rsidRPr="003C6B6D">
        <w:rPr>
          <w:sz w:val="28"/>
          <w:szCs w:val="28"/>
          <w:lang w:val="az-Latn-AZ"/>
        </w:rPr>
        <w:t xml:space="preserve"> partlayıcı qurğuların verilməsi qaydası haqqında</w:t>
      </w:r>
      <w:r>
        <w:rPr>
          <w:sz w:val="28"/>
          <w:szCs w:val="28"/>
          <w:lang w:val="az-Latn-AZ"/>
        </w:rPr>
        <w:t>” Protokol Azərbaycan Respublikasının ona dair qeyd-şərti ilə (qeyd-şərtin mətni əlavə olunur) təsdiq edilsin.</w:t>
      </w:r>
    </w:p>
    <w:p w:rsidR="000B263B" w:rsidRDefault="000B263B" w:rsidP="000B263B">
      <w:pPr>
        <w:tabs>
          <w:tab w:val="left" w:pos="8222"/>
        </w:tabs>
        <w:ind w:firstLine="720"/>
        <w:jc w:val="both"/>
        <w:rPr>
          <w:sz w:val="28"/>
          <w:szCs w:val="28"/>
          <w:lang w:val="az-Latn-AZ"/>
        </w:rPr>
      </w:pPr>
    </w:p>
    <w:p w:rsidR="000B263B" w:rsidRDefault="000B263B" w:rsidP="000B263B">
      <w:pPr>
        <w:tabs>
          <w:tab w:val="left" w:pos="8222"/>
        </w:tabs>
        <w:ind w:firstLine="720"/>
        <w:jc w:val="both"/>
        <w:rPr>
          <w:sz w:val="28"/>
          <w:szCs w:val="28"/>
          <w:lang w:val="az-Latn-AZ"/>
        </w:rPr>
      </w:pPr>
    </w:p>
    <w:p w:rsidR="000B263B" w:rsidRDefault="000B263B" w:rsidP="000B263B">
      <w:pPr>
        <w:pStyle w:val="ametn"/>
        <w:ind w:firstLine="0"/>
        <w:rPr>
          <w:rFonts w:cs="Times New Roman"/>
        </w:rPr>
      </w:pPr>
    </w:p>
    <w:p w:rsidR="000B263B" w:rsidRDefault="000B263B" w:rsidP="000B263B">
      <w:pPr>
        <w:pStyle w:val="ametn"/>
        <w:tabs>
          <w:tab w:val="left" w:pos="5245"/>
        </w:tabs>
        <w:rPr>
          <w:rFonts w:cs="Times New Roman"/>
        </w:rPr>
      </w:pPr>
    </w:p>
    <w:p w:rsidR="000B263B" w:rsidRDefault="000B263B" w:rsidP="000B263B">
      <w:pPr>
        <w:pStyle w:val="ametn"/>
        <w:rPr>
          <w:rFonts w:cs="Times New Roman"/>
        </w:rPr>
      </w:pPr>
    </w:p>
    <w:p w:rsidR="000B263B" w:rsidRDefault="000B263B" w:rsidP="000B263B">
      <w:pPr>
        <w:pStyle w:val="ametn"/>
        <w:rPr>
          <w:rFonts w:cs="Times New Roman"/>
        </w:rPr>
      </w:pPr>
    </w:p>
    <w:p w:rsidR="000B263B" w:rsidRDefault="000B263B" w:rsidP="000B263B">
      <w:pPr>
        <w:ind w:left="3528" w:firstLine="720"/>
        <w:jc w:val="both"/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 xml:space="preserve">                                  İlham Əliyev</w:t>
      </w:r>
    </w:p>
    <w:p w:rsidR="000B263B" w:rsidRDefault="000B263B" w:rsidP="000B263B">
      <w:pPr>
        <w:rPr>
          <w:b/>
          <w:sz w:val="28"/>
          <w:szCs w:val="28"/>
          <w:lang w:val="az-Latn-AZ" w:eastAsia="ja-JP"/>
        </w:rPr>
      </w:pPr>
      <w:r>
        <w:rPr>
          <w:lang w:val="az-Latn-AZ"/>
        </w:rPr>
        <w:tab/>
      </w:r>
      <w:r>
        <w:rPr>
          <w:lang w:val="az-Latn-AZ"/>
        </w:rPr>
        <w:tab/>
      </w:r>
      <w:r>
        <w:rPr>
          <w:lang w:val="az-Latn-AZ"/>
        </w:rPr>
        <w:tab/>
      </w:r>
      <w:r>
        <w:rPr>
          <w:lang w:val="az-Latn-AZ"/>
        </w:rPr>
        <w:tab/>
      </w:r>
      <w:r>
        <w:rPr>
          <w:lang w:val="az-Latn-AZ"/>
        </w:rPr>
        <w:tab/>
        <w:t xml:space="preserve">                      </w:t>
      </w:r>
      <w:r>
        <w:rPr>
          <w:b/>
          <w:sz w:val="28"/>
          <w:szCs w:val="28"/>
          <w:lang w:val="az-Latn-AZ" w:eastAsia="ja-JP"/>
        </w:rPr>
        <w:t>Azərbaycan Respublikasının Prezidenti</w:t>
      </w:r>
    </w:p>
    <w:p w:rsidR="000B263B" w:rsidRDefault="000B263B" w:rsidP="000B263B">
      <w:pPr>
        <w:jc w:val="both"/>
        <w:rPr>
          <w:b/>
          <w:sz w:val="28"/>
          <w:szCs w:val="28"/>
          <w:lang w:val="az-Latn-AZ" w:eastAsia="ja-JP"/>
        </w:rPr>
      </w:pPr>
      <w:r>
        <w:rPr>
          <w:b/>
          <w:sz w:val="28"/>
          <w:szCs w:val="28"/>
          <w:lang w:val="az-Latn-AZ" w:eastAsia="ja-JP"/>
        </w:rPr>
        <w:t xml:space="preserve">                                                                                       </w:t>
      </w:r>
    </w:p>
    <w:p w:rsidR="000B263B" w:rsidRDefault="000B263B" w:rsidP="000B263B">
      <w:pPr>
        <w:tabs>
          <w:tab w:val="left" w:pos="1005"/>
        </w:tabs>
        <w:jc w:val="both"/>
        <w:rPr>
          <w:b/>
          <w:sz w:val="28"/>
          <w:szCs w:val="28"/>
          <w:lang w:val="az-Latn-AZ" w:eastAsia="ja-JP"/>
        </w:rPr>
      </w:pPr>
    </w:p>
    <w:p w:rsidR="000B263B" w:rsidRDefault="000B263B" w:rsidP="000B263B">
      <w:pPr>
        <w:ind w:right="158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Bakı şəhəri, 12 fevral 2019-cu il</w:t>
      </w:r>
    </w:p>
    <w:p w:rsidR="000B263B" w:rsidRDefault="000B263B" w:rsidP="000B263B">
      <w:pPr>
        <w:ind w:right="158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№ 1499-VQ</w:t>
      </w:r>
    </w:p>
    <w:p w:rsidR="000B263B" w:rsidRDefault="000B263B" w:rsidP="000B263B">
      <w:pPr>
        <w:pStyle w:val="ametn"/>
        <w:rPr>
          <w:rFonts w:cs="Times New Roman"/>
        </w:rPr>
      </w:pPr>
    </w:p>
    <w:p w:rsidR="00C24EB3" w:rsidRDefault="00C24EB3">
      <w:bookmarkStart w:id="0" w:name="_GoBack"/>
      <w:bookmarkEnd w:id="0"/>
    </w:p>
    <w:sectPr w:rsidR="00C24EB3" w:rsidSect="006805B1">
      <w:pgSz w:w="12240" w:h="15840"/>
      <w:pgMar w:top="1134" w:right="1304" w:bottom="1134" w:left="12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63B"/>
    <w:rsid w:val="000B263B"/>
    <w:rsid w:val="00C2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metn">
    <w:name w:val="ametn"/>
    <w:basedOn w:val="a3"/>
    <w:rsid w:val="000B263B"/>
    <w:pPr>
      <w:ind w:firstLine="567"/>
      <w:jc w:val="both"/>
    </w:pPr>
    <w:rPr>
      <w:rFonts w:ascii="Times New Roman" w:hAnsi="Times New Roman" w:cs="Courier New"/>
      <w:sz w:val="28"/>
      <w:szCs w:val="20"/>
      <w:lang w:val="az-Latn-AZ" w:eastAsia="en-US"/>
    </w:rPr>
  </w:style>
  <w:style w:type="paragraph" w:styleId="a3">
    <w:name w:val="Plain Text"/>
    <w:basedOn w:val="a"/>
    <w:link w:val="a4"/>
    <w:uiPriority w:val="99"/>
    <w:semiHidden/>
    <w:unhideWhenUsed/>
    <w:rsid w:val="000B263B"/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0B263B"/>
    <w:rPr>
      <w:rFonts w:ascii="Consolas" w:eastAsia="Times New Roman" w:hAnsi="Consolas" w:cs="Consolas"/>
      <w:sz w:val="21"/>
      <w:szCs w:val="21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metn">
    <w:name w:val="ametn"/>
    <w:basedOn w:val="a3"/>
    <w:rsid w:val="000B263B"/>
    <w:pPr>
      <w:ind w:firstLine="567"/>
      <w:jc w:val="both"/>
    </w:pPr>
    <w:rPr>
      <w:rFonts w:ascii="Times New Roman" w:hAnsi="Times New Roman" w:cs="Courier New"/>
      <w:sz w:val="28"/>
      <w:szCs w:val="20"/>
      <w:lang w:val="az-Latn-AZ" w:eastAsia="en-US"/>
    </w:rPr>
  </w:style>
  <w:style w:type="paragraph" w:styleId="a3">
    <w:name w:val="Plain Text"/>
    <w:basedOn w:val="a"/>
    <w:link w:val="a4"/>
    <w:uiPriority w:val="99"/>
    <w:semiHidden/>
    <w:unhideWhenUsed/>
    <w:rsid w:val="000B263B"/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0B263B"/>
    <w:rPr>
      <w:rFonts w:ascii="Consolas" w:eastAsia="Times New Roman" w:hAnsi="Consolas" w:cs="Consolas"/>
      <w:sz w:val="21"/>
      <w:szCs w:val="21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2019-04-09T11:48:00Z</dcterms:created>
  <dcterms:modified xsi:type="dcterms:W3CDTF">2019-04-09T11:48:00Z</dcterms:modified>
</cp:coreProperties>
</file>