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D54E94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ED7299" w:rsidRPr="00812431" w:rsidRDefault="00ED7299" w:rsidP="00ED7299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812431">
        <w:rPr>
          <w:b/>
          <w:bCs/>
          <w:sz w:val="32"/>
          <w:szCs w:val="32"/>
          <w:lang w:val="az-Latn-AZ"/>
        </w:rPr>
        <w:t>“İnvestisiya fondları haqqında” Azərbaycan Respublikasının Qanununda dəyişikliklər edilməsi barədə</w:t>
      </w:r>
    </w:p>
    <w:p w:rsidR="00ED7299" w:rsidRDefault="00ED7299" w:rsidP="00ED7299">
      <w:pPr>
        <w:spacing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D7299" w:rsidRPr="001F1446" w:rsidRDefault="00ED7299" w:rsidP="00ED7299">
      <w:pPr>
        <w:spacing w:line="240" w:lineRule="auto"/>
        <w:ind w:right="120"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1F1446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ED7299" w:rsidRPr="00812431" w:rsidRDefault="00ED7299" w:rsidP="00ED7299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D7299" w:rsidRDefault="00ED7299" w:rsidP="00ED7299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</w:t>
      </w:r>
      <w:r w:rsidRPr="00812431">
        <w:rPr>
          <w:rFonts w:ascii="Times New Roman" w:hAnsi="Times New Roman"/>
          <w:bCs/>
          <w:sz w:val="28"/>
          <w:szCs w:val="28"/>
          <w:lang w:val="az-Latn-AZ"/>
        </w:rPr>
        <w:t>“Azərbaycan Respublikasının Mülki Məcəlləsində dəyişikliklər edilməsi haqqında” Azərbaycan Respublikasının 2015-ci il 15 may tarixli 1283-IVQD nömrəli Qanununun tətbiqi ilə əlaqədar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ED7299" w:rsidRPr="00812431" w:rsidRDefault="00ED7299" w:rsidP="00ED7299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“İnvestisiya fondları haqqında” Azərbaycan Respublikasının Qanununda (Azərbaycan Respublikasının Qanunvericilik Toplusu, 2010, № 11, maddə 950; 2014, № 10, maddə 1161; 2015, № 11, maddə 1261) aşağıdakı dəyişikliklər edilsin:</w:t>
      </w: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iCs/>
          <w:sz w:val="28"/>
          <w:szCs w:val="28"/>
          <w:lang w:val="az-Latn-AZ"/>
        </w:rPr>
        <w:t>6-cı maddə üzrə: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1.1.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6.1-ci maddədə “qanunvericiliklə” sözü “Azərbaycan Respublikası Mülki Məcəlləsinin 107.1-ci maddəsi ilə”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1.2.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6.4-cü maddənin ikinci cümləsində “fondunun aidiyyəti şəxsi” sözləri “fonduna aidiyyəti şəxs”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1.3.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6.5-ci maddədə “onların aidiyyəti şəxsləri və” sözləri “onlara aidiyyəti olan şəxslər və onların”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1.4.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6.6-cı maddədə “onların aidiyyəti şəxsləri” sözləri “onlara aidiyyəti olan şəxslər” sözləri ilə əvəz edilsin.</w:t>
      </w: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24.11.8-ci maddədə “özünün və depozitarın aidiyyəti şəxslərinin” sözləri “özünə və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depozitara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aidiyyəti olan şəxslərin” sözləri ilə əvəz edilsin.</w:t>
      </w: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27-ci maddə üzrə: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3.1. adında “fondunun aidiyyəti şəxsi” sözləri “fonduna aidiyyəti olan şəxslər” sözləri ilə əvəz edilsin; 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3.2.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27.1-ci, 27.2.1-ci, 27.2.2-ci və 27.2.3-cü maddələrdə “fondunun aidiyyəti şəxsləri” sözləri “fonduna aidiyyəti olan şəxslər”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3.3.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27.1.8-ci maddənin sonunda nöqtə işarəsi nöqtəli vergül işarəsi ilə əvəz olunsun və aşağıdakı məzmunda 27.1.9-cu maddə əlavə edilsin: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“27.1.9. bu Qanunun 27.1.1-ci, 27.1.2-ci və 27.1.4-cü maddələrində göstərilən şəxslərin birbaşa və ya dolayısı ilə iştirak etdiyi hüquqi şəxslər.”;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lastRenderedPageBreak/>
        <w:t>3.4. 27.2-ci maddədə “fondunun aidiyyəti şəxsləri ilə” sözləri “fonduna aidiyyəti olan şəxslərlə”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3.5.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27.2.4-cü maddədə “fondunun” sözü “fonduna” sözü ilə, “şəxsləri” sözü “olan şəxslər” sözləri ilə əvəz edilsin;</w:t>
      </w:r>
    </w:p>
    <w:p w:rsidR="00ED7299" w:rsidRPr="00812431" w:rsidRDefault="00ED7299" w:rsidP="00ED7299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3.6. 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 </w:t>
      </w:r>
      <w:r w:rsidRPr="00812431">
        <w:rPr>
          <w:rFonts w:ascii="Times New Roman" w:hAnsi="Times New Roman"/>
          <w:iCs/>
          <w:sz w:val="28"/>
          <w:szCs w:val="28"/>
          <w:lang w:val="az-Latn-AZ"/>
        </w:rPr>
        <w:t>27.2.5-ci maddə aşağıdakı redaksiyada verilsin: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“27.2.5. səhmdar investisiya fondu ilə ona aidiyyəti olan şəxslər arasında fondun aktivlərinin dəyərinin 5 faizini və daha çox hissəsini təşkil edən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əqdlər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 səhmdar investisiya fondu tərəfindən cəlb edilmiş müstəqil auditorun rəyi və səsvermədə iştirak etmək hüququ olan səhmdarların ümumi yığıncağının sadə səs çoxluğu ilə qəbul edilən qərarı ilə bağlanılır;”;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3.7. aşağıdakı məzmunda 27.2.5-1-ci maddə əlavə edilsin: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“27.2.5-1.  səhmdar investisiya fondu ilə ona aidiyyəti olan şəxslər arasında fondun aktivlərinin dəyərinin 5 faizədək hissəsini təşkil edən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əqdlər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səhmdar investisiya fondunun nizamnaməsinə uyğun olaraq səhmdarların ümumi yığıncağı, müşahidə şurası və ya icra orqanı tərəfindən qəbul edilən qərarı ilə bağlanılır;”;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3.8. 27.2.6-cı maddənin birinci cümləsində “idarəçisinin aidiyyəti şəxsləri” sözləri “idarəçisinə aidiyyəti olan şəxslər” sözləri ilə əvəz edilsin;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3.9. 27.2.8-ci maddənin sonunda nöqtə işarəsi nöqtəli vergül işarəsi ilə əvəz olunsun və aşağıdakı məzmunda 27.2.9-cu maddə əlavə edilsin:</w:t>
      </w: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“27.2.9. səhmdar investisiya fondunun müşahidə şurasının və icra orqanının üzvləri, habelə investisiya fondunun struktur bölmələrinin (filial, departament, şöbə və s.) rəhbərləri özlərinin, bu Qanunun 27.1.3-cü və 27.1.9-cu maddələrində göstərilən şəxslərin bağlanılan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əqdə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münasibətdə aidiyyəti şəxs qismində çıxış etmələri, həmçinin həmin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əqdlə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əlaqədar öz maraqlarının xüsusiyyətləri (onun yaranması, həcmi və s.) barədə məlumatı Azərbaycan Respublikasının Mülki Məcəlləsinin 49-1.5-ci, 49-1.6-cı və 49-1.7-ci maddələri ilə müəyyən edilmiş qaydada təqdim </w:t>
      </w:r>
      <w:proofErr w:type="spellStart"/>
      <w:r w:rsidRPr="00812431">
        <w:rPr>
          <w:rFonts w:ascii="Times New Roman" w:hAnsi="Times New Roman"/>
          <w:iCs/>
          <w:sz w:val="28"/>
          <w:szCs w:val="28"/>
          <w:lang w:val="az-Latn-AZ"/>
        </w:rPr>
        <w:t>etməlidirlər</w:t>
      </w:r>
      <w:proofErr w:type="spellEnd"/>
      <w:r w:rsidRPr="00812431">
        <w:rPr>
          <w:rFonts w:ascii="Times New Roman" w:hAnsi="Times New Roman"/>
          <w:iCs/>
          <w:sz w:val="28"/>
          <w:szCs w:val="28"/>
          <w:lang w:val="az-Latn-AZ"/>
        </w:rPr>
        <w:t>.”.</w:t>
      </w: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4. 29.2.2-ci maddədə “aidiyyəti şəxslərinin” sözləri “fonda aidiyyəti olan şəxslərin” sözləri ilə əvəz edilsin.</w:t>
      </w:r>
    </w:p>
    <w:p w:rsidR="00ED7299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19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>5. 36.1.3.6-cı maddədə “aidiyyəti şəxsləri” sözləri “onlara aidiyyəti olan şəxslər” sözləri ilə əvəz edilsin.</w:t>
      </w:r>
    </w:p>
    <w:p w:rsidR="00ED7299" w:rsidRPr="00812431" w:rsidRDefault="00ED7299" w:rsidP="00ED7299">
      <w:pPr>
        <w:spacing w:line="240" w:lineRule="auto"/>
        <w:ind w:right="120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812431">
        <w:rPr>
          <w:rFonts w:ascii="Times New Roman" w:hAnsi="Times New Roman"/>
          <w:iCs/>
          <w:sz w:val="28"/>
          <w:szCs w:val="28"/>
          <w:lang w:val="az-Latn-AZ"/>
        </w:rPr>
        <w:t xml:space="preserve">         </w:t>
      </w:r>
    </w:p>
    <w:p w:rsidR="00ED7299" w:rsidRPr="00812431" w:rsidRDefault="00ED7299" w:rsidP="00ED7299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D7299" w:rsidRPr="00812431" w:rsidRDefault="00ED7299" w:rsidP="00ED7299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D7299" w:rsidRDefault="00ED7299" w:rsidP="00ED7299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812431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2431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2431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2431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2431"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İlham Əliyev</w:t>
      </w:r>
    </w:p>
    <w:p w:rsidR="00ED7299" w:rsidRDefault="00ED7299" w:rsidP="00ED7299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ED7299" w:rsidRDefault="00ED7299" w:rsidP="00ED7299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D7299" w:rsidRDefault="00ED7299" w:rsidP="00ED7299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ED7299" w:rsidRPr="00D54E94" w:rsidRDefault="00ED7299" w:rsidP="00ED7299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5 aprel 2016-cı il</w:t>
      </w:r>
    </w:p>
    <w:p w:rsidR="00ED7299" w:rsidRDefault="00ED7299" w:rsidP="00ED7299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>188-VQD</w:t>
      </w:r>
    </w:p>
    <w:p w:rsidR="00E02DFC" w:rsidRPr="00ED7299" w:rsidRDefault="00E02DFC">
      <w:pPr>
        <w:rPr>
          <w:lang w:val="en-US"/>
        </w:rPr>
      </w:pPr>
      <w:bookmarkStart w:id="0" w:name="_GoBack"/>
      <w:bookmarkEnd w:id="0"/>
    </w:p>
    <w:sectPr w:rsidR="00E02DFC" w:rsidRPr="00ED7299" w:rsidSect="00B745A1">
      <w:headerReference w:type="default" r:id="rId5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94" w:rsidRDefault="00ED729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54E94" w:rsidRDefault="00ED7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9"/>
    <w:rsid w:val="00E02DFC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9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9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2704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2016-05-18T10:41:00Z</dcterms:created>
  <dcterms:modified xsi:type="dcterms:W3CDTF">2016-05-18T10:41:00Z</dcterms:modified>
</cp:coreProperties>
</file>