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5A" w:rsidRDefault="00FB705A" w:rsidP="00FB705A">
      <w:pPr>
        <w:rPr>
          <w:sz w:val="32"/>
          <w:szCs w:val="32"/>
        </w:rPr>
      </w:pPr>
    </w:p>
    <w:p w:rsidR="00FB705A" w:rsidRDefault="00FB705A" w:rsidP="00FB705A">
      <w:pPr>
        <w:ind w:right="-279"/>
        <w:jc w:val="center"/>
        <w:rPr>
          <w:b/>
          <w:sz w:val="32"/>
          <w:szCs w:val="32"/>
        </w:rPr>
      </w:pPr>
      <w:r w:rsidRPr="000454C3">
        <w:rPr>
          <w:b/>
          <w:sz w:val="32"/>
          <w:szCs w:val="32"/>
        </w:rPr>
        <w:t>Sosial təminat</w:t>
      </w:r>
      <w:r>
        <w:rPr>
          <w:b/>
          <w:sz w:val="32"/>
          <w:szCs w:val="32"/>
        </w:rPr>
        <w:t>ı</w:t>
      </w:r>
      <w:r w:rsidRPr="000454C3">
        <w:rPr>
          <w:b/>
          <w:sz w:val="32"/>
          <w:szCs w:val="32"/>
        </w:rPr>
        <w:t xml:space="preserve"> və müdafiə</w:t>
      </w:r>
      <w:r>
        <w:rPr>
          <w:b/>
          <w:sz w:val="32"/>
          <w:szCs w:val="32"/>
        </w:rPr>
        <w:t>ni</w:t>
      </w:r>
      <w:r w:rsidRPr="000454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həyata keçirən</w:t>
      </w:r>
    </w:p>
    <w:p w:rsidR="00FB705A" w:rsidRPr="000454C3" w:rsidRDefault="00FB705A" w:rsidP="00FB705A">
      <w:pPr>
        <w:ind w:right="-279"/>
        <w:jc w:val="center"/>
        <w:rPr>
          <w:b/>
          <w:bCs/>
          <w:sz w:val="32"/>
          <w:szCs w:val="32"/>
        </w:rPr>
      </w:pPr>
      <w:r w:rsidRPr="000454C3">
        <w:rPr>
          <w:b/>
          <w:sz w:val="32"/>
          <w:szCs w:val="32"/>
        </w:rPr>
        <w:t>müvafiq icra hakimiyyəti orqanının</w:t>
      </w:r>
    </w:p>
    <w:p w:rsidR="00FB705A" w:rsidRPr="000454C3" w:rsidRDefault="00FB705A" w:rsidP="00FB705A">
      <w:pPr>
        <w:ind w:right="-279"/>
        <w:jc w:val="center"/>
        <w:rPr>
          <w:b/>
          <w:bCs/>
          <w:sz w:val="32"/>
          <w:szCs w:val="32"/>
        </w:rPr>
      </w:pPr>
      <w:r w:rsidRPr="000454C3">
        <w:rPr>
          <w:b/>
          <w:bCs/>
          <w:sz w:val="32"/>
          <w:szCs w:val="32"/>
        </w:rPr>
        <w:t>2017-ci il büdcəsi haqqında</w:t>
      </w:r>
    </w:p>
    <w:p w:rsidR="00FB705A" w:rsidRDefault="00FB705A" w:rsidP="00FB705A">
      <w:pPr>
        <w:ind w:right="-279"/>
        <w:rPr>
          <w:bCs/>
          <w:sz w:val="28"/>
          <w:szCs w:val="28"/>
        </w:rPr>
      </w:pPr>
    </w:p>
    <w:p w:rsidR="00FB705A" w:rsidRDefault="00FB705A" w:rsidP="00FB705A">
      <w:pPr>
        <w:ind w:right="-279"/>
        <w:rPr>
          <w:bCs/>
          <w:sz w:val="28"/>
          <w:szCs w:val="28"/>
        </w:rPr>
      </w:pPr>
    </w:p>
    <w:p w:rsidR="00FB705A" w:rsidRPr="00D01075" w:rsidRDefault="00FB705A" w:rsidP="00FB705A">
      <w:pPr>
        <w:ind w:right="-279"/>
        <w:jc w:val="center"/>
        <w:rPr>
          <w:b/>
          <w:bCs/>
          <w:sz w:val="40"/>
          <w:szCs w:val="40"/>
        </w:rPr>
      </w:pPr>
      <w:r w:rsidRPr="00D01075">
        <w:rPr>
          <w:b/>
          <w:bCs/>
          <w:sz w:val="40"/>
          <w:szCs w:val="40"/>
        </w:rPr>
        <w:t>AZƏRBAYCAN RESPUBLİKASININ QANUNU</w:t>
      </w:r>
    </w:p>
    <w:p w:rsidR="00FB705A" w:rsidRPr="00AA0A2D" w:rsidRDefault="00FB705A" w:rsidP="00FB705A">
      <w:pPr>
        <w:ind w:right="-279"/>
        <w:jc w:val="center"/>
        <w:rPr>
          <w:b/>
          <w:bCs/>
          <w:sz w:val="28"/>
          <w:szCs w:val="28"/>
        </w:rPr>
      </w:pPr>
    </w:p>
    <w:p w:rsidR="00FB705A" w:rsidRDefault="00FB705A" w:rsidP="00FB705A">
      <w:pPr>
        <w:ind w:right="-279"/>
        <w:jc w:val="both"/>
        <w:rPr>
          <w:sz w:val="28"/>
          <w:szCs w:val="28"/>
        </w:rPr>
      </w:pPr>
    </w:p>
    <w:p w:rsidR="00FB705A" w:rsidRPr="00DD47ED" w:rsidRDefault="00FB705A" w:rsidP="00FB705A">
      <w:pPr>
        <w:ind w:right="-279" w:firstLine="709"/>
        <w:jc w:val="both"/>
        <w:rPr>
          <w:sz w:val="28"/>
          <w:szCs w:val="28"/>
        </w:rPr>
      </w:pPr>
      <w:r w:rsidRPr="00DD47ED">
        <w:rPr>
          <w:sz w:val="28"/>
          <w:szCs w:val="28"/>
        </w:rPr>
        <w:t>Azərbaycan Respublikasının Milli Məclisi Azərbaycan Respublikası Konstitusiyasının 95-ci maddəsinin I hissəsinin 5-ci bəndini rəhbər tutaraq</w:t>
      </w:r>
      <w:r>
        <w:rPr>
          <w:sz w:val="28"/>
          <w:szCs w:val="28"/>
        </w:rPr>
        <w:t xml:space="preserve"> </w:t>
      </w:r>
      <w:r w:rsidRPr="008A5C0D">
        <w:rPr>
          <w:b/>
          <w:bCs/>
          <w:sz w:val="28"/>
          <w:szCs w:val="28"/>
        </w:rPr>
        <w:t>qərara alır:</w:t>
      </w:r>
    </w:p>
    <w:p w:rsidR="00FB705A" w:rsidRPr="000A6C4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1.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Büdcənin ümumi göstəriciləri</w:t>
      </w:r>
    </w:p>
    <w:p w:rsidR="00FB705A" w:rsidRPr="000A6C4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92415A" w:rsidRDefault="00FB705A" w:rsidP="00FB705A">
      <w:pPr>
        <w:ind w:right="-279" w:firstLine="708"/>
        <w:jc w:val="both"/>
        <w:rPr>
          <w:sz w:val="28"/>
          <w:szCs w:val="28"/>
        </w:rPr>
      </w:pPr>
      <w:r w:rsidRPr="0092415A">
        <w:rPr>
          <w:sz w:val="28"/>
          <w:szCs w:val="28"/>
        </w:rPr>
        <w:t>Müvafiq icra hakimiyyəti orqanının 2017-ci il büdcəsinin gəlirləri 3 400 000 000,0 manat, xərcləri 3 400 000 000,0 manat məbləğində təsdiq edilir.</w:t>
      </w:r>
    </w:p>
    <w:p w:rsidR="00FB705A" w:rsidRPr="000A6C4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2.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Gəlirlər</w:t>
      </w:r>
    </w:p>
    <w:p w:rsidR="00FB705A" w:rsidRPr="000A6C4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92415A" w:rsidRDefault="00FB705A" w:rsidP="00FB705A">
      <w:pPr>
        <w:ind w:right="-279" w:firstLine="709"/>
        <w:jc w:val="both"/>
        <w:rPr>
          <w:sz w:val="28"/>
          <w:szCs w:val="28"/>
        </w:rPr>
      </w:pPr>
      <w:r w:rsidRPr="00DD47ED">
        <w:rPr>
          <w:sz w:val="28"/>
          <w:szCs w:val="28"/>
        </w:rPr>
        <w:t>Müəyyən edilsin ki, 201</w:t>
      </w:r>
      <w:r>
        <w:rPr>
          <w:sz w:val="28"/>
          <w:szCs w:val="28"/>
        </w:rPr>
        <w:t>7</w:t>
      </w:r>
      <w:r w:rsidRPr="00DD47ED">
        <w:rPr>
          <w:sz w:val="28"/>
          <w:szCs w:val="28"/>
        </w:rPr>
        <w:t>-c</w:t>
      </w:r>
      <w:r>
        <w:rPr>
          <w:sz w:val="28"/>
          <w:szCs w:val="28"/>
        </w:rPr>
        <w:t>i</w:t>
      </w:r>
      <w:r w:rsidRPr="00DD47ED">
        <w:rPr>
          <w:sz w:val="28"/>
          <w:szCs w:val="28"/>
        </w:rPr>
        <w:t xml:space="preserve"> </w:t>
      </w:r>
      <w:r w:rsidRPr="0092415A">
        <w:rPr>
          <w:sz w:val="28"/>
          <w:szCs w:val="28"/>
        </w:rPr>
        <w:t>ildə müvafiq icra hakimiyyəti orqanının gəlirləri aşağıdakı daxilolmalar hesabına formalaşır:</w:t>
      </w:r>
    </w:p>
    <w:p w:rsidR="00FB705A" w:rsidRPr="00DD47ED" w:rsidRDefault="00FB705A" w:rsidP="00FB705A">
      <w:pPr>
        <w:ind w:right="-27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77"/>
        <w:gridCol w:w="6271"/>
        <w:gridCol w:w="2858"/>
      </w:tblGrid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Gəlirlərin mənbələri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Məbləğ (manatla)</w:t>
            </w:r>
          </w:p>
        </w:tc>
      </w:tr>
      <w:tr w:rsidR="00FB705A" w:rsidRPr="00DD47ED" w:rsidTr="001505CC">
        <w:trPr>
          <w:trHeight w:val="704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Məcburi dövlət sosial sığorta haqları, cəmi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2 125 000 000,0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1.1.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büdcədən maliyyələşən təşkilatlar üzrə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704 300 000,0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büdcədən maliyyələşən təşkilatlarda işləyənlər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üzrə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96 000 000,0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1.3.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büdcə təşkilatlarının büdcədənkənar vəsaitləri üzrə</w:t>
            </w:r>
            <w:r>
              <w:rPr>
                <w:sz w:val="28"/>
                <w:szCs w:val="28"/>
              </w:rPr>
              <w:t xml:space="preserve">    </w:t>
            </w:r>
            <w:r w:rsidRPr="00617834">
              <w:rPr>
                <w:sz w:val="28"/>
                <w:szCs w:val="28"/>
              </w:rPr>
              <w:t>daxilolmalar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24 700 000,0</w:t>
            </w:r>
          </w:p>
        </w:tc>
      </w:tr>
      <w:tr w:rsidR="00FB705A" w:rsidRPr="00DD47ED" w:rsidTr="001505CC">
        <w:trPr>
          <w:trHeight w:val="661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1.4.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digər sığortaedənlər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1 300 000 000,0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sahibkarlıq fəaliyyəti ilə məşğul olan fiziki şəxslər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üzrə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54 450 300,0</w:t>
            </w:r>
          </w:p>
        </w:tc>
      </w:tr>
      <w:tr w:rsidR="00FB705A" w:rsidRPr="00DD47ED" w:rsidTr="001505CC">
        <w:trPr>
          <w:trHeight w:val="704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Sair gəlirlər, cəmi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5 000 000,0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Sanatoriya-kurort yollayışlarının qismən dəyəri</w:t>
            </w:r>
            <w:r>
              <w:rPr>
                <w:sz w:val="28"/>
                <w:szCs w:val="28"/>
              </w:rPr>
              <w:t xml:space="preserve">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üzrə daxilolmalar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1 753 800,0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72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Dövlət büdcəsindən ayırmalar (transfert)</w:t>
            </w:r>
          </w:p>
        </w:tc>
        <w:tc>
          <w:tcPr>
            <w:tcW w:w="1400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1 270 000 000,0</w:t>
            </w:r>
          </w:p>
        </w:tc>
      </w:tr>
    </w:tbl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3.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Xərclər</w:t>
      </w:r>
    </w:p>
    <w:p w:rsidR="00FB705A" w:rsidRPr="00DD47ED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sz w:val="28"/>
          <w:szCs w:val="28"/>
        </w:rPr>
      </w:pPr>
      <w:r w:rsidRPr="00DD47ED">
        <w:rPr>
          <w:sz w:val="28"/>
          <w:szCs w:val="28"/>
        </w:rPr>
        <w:t xml:space="preserve">Müəyyən edilsin </w:t>
      </w:r>
      <w:r w:rsidRPr="0092415A">
        <w:rPr>
          <w:sz w:val="28"/>
          <w:szCs w:val="28"/>
        </w:rPr>
        <w:t>ki, müvafiq icra hakimiyyəti orqanının 2017-ci il büdcəsinin xərcləri aşağıdakı istiqamətlərdə həyata keçirilir:</w:t>
      </w:r>
    </w:p>
    <w:p w:rsidR="00FB705A" w:rsidRPr="00DD47ED" w:rsidRDefault="00FB705A" w:rsidP="00FB705A">
      <w:pPr>
        <w:ind w:right="-27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bottom w:w="57" w:type="dxa"/>
        </w:tblCellMar>
        <w:tblLook w:val="00A0" w:firstRow="1" w:lastRow="0" w:firstColumn="1" w:lastColumn="0" w:noHBand="0" w:noVBand="0"/>
      </w:tblPr>
      <w:tblGrid>
        <w:gridCol w:w="1078"/>
        <w:gridCol w:w="6436"/>
        <w:gridCol w:w="2692"/>
      </w:tblGrid>
      <w:tr w:rsidR="00FB705A" w:rsidRPr="00DD47ED" w:rsidTr="001505CC">
        <w:trPr>
          <w:trHeight w:val="412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Xərclərin istiqamətləri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Məbləğ (manatla)</w:t>
            </w:r>
          </w:p>
        </w:tc>
      </w:tr>
      <w:tr w:rsidR="00FB705A" w:rsidRPr="00DD47ED" w:rsidTr="001505CC">
        <w:trPr>
          <w:trHeight w:val="593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Əhaliyə ödənişlər, cəmi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3 318 220 000,0</w:t>
            </w:r>
          </w:p>
        </w:tc>
      </w:tr>
      <w:tr w:rsidR="00FB705A" w:rsidRPr="00DD47ED" w:rsidTr="001505CC">
        <w:trPr>
          <w:trHeight w:val="599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1.1.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əmək pensiyalarının ödənilməsinə, cəmi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3 213 820 000,0</w:t>
            </w:r>
          </w:p>
        </w:tc>
      </w:tr>
      <w:tr w:rsidR="00FB705A" w:rsidRPr="00DD47ED" w:rsidTr="001505CC">
        <w:trPr>
          <w:trHeight w:val="915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məcburi dövlət sosial sığorta haqları hesabına</w:t>
            </w:r>
            <w:r>
              <w:rPr>
                <w:sz w:val="28"/>
                <w:szCs w:val="28"/>
              </w:rPr>
              <w:t xml:space="preserve">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müavinətlərə, cəmi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ondan: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104 400 000,0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firstLine="292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əmək qabiliyyətinin müvəqqəti itirilməsinə görə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22 600 000,0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firstLine="292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hamiləliyə və doğuşa görə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28 100 000,0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firstLine="292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uşağın anadan olmasına görə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7 200 000,0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firstLine="292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 yaşına çatanadək uşaqlara qulluqla əlaqədar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13 400 000,0</w:t>
            </w:r>
          </w:p>
        </w:tc>
      </w:tr>
      <w:tr w:rsidR="00FB705A" w:rsidRPr="00DD47ED" w:rsidTr="001505CC">
        <w:trPr>
          <w:trHeight w:val="315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firstLine="292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dəfn üçün 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15 500 000,0</w:t>
            </w:r>
          </w:p>
        </w:tc>
      </w:tr>
      <w:tr w:rsidR="00FB705A" w:rsidRPr="00DD47ED" w:rsidTr="001505CC">
        <w:trPr>
          <w:trHeight w:val="255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firstLine="292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işsizliyə görə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17 600 000,0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Pensiya və müavinətlərin əhaliyə çatdırılması,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bank əməliyyatlarının aparılması üzrə xidmət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haqqı xərcləri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21 000 000,0</w:t>
            </w:r>
          </w:p>
        </w:tc>
      </w:tr>
      <w:tr w:rsidR="00FB705A" w:rsidRPr="00DD47ED" w:rsidTr="001505CC">
        <w:trPr>
          <w:trHeight w:val="1256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Sığortaolunanların sanatoriya-kurort müalicəsi və</w:t>
            </w:r>
            <w:r>
              <w:rPr>
                <w:sz w:val="28"/>
                <w:szCs w:val="28"/>
              </w:rPr>
              <w:t xml:space="preserve">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sağlamlaşdırma tədbirlərinin həyata keçirilməsi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üzrə Azərbaycan Həmkarlar İttifaqları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Konfederasiyası vasitəsilə maliyyələşdirilən</w:t>
            </w:r>
          </w:p>
          <w:p w:rsidR="00FB705A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xərclər, cəmi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19 120 000,0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3.1.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sanatoriya-kurort müalicəsi və istirahət üçün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yollayışların alınmasına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14 880 000,0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3.2.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sığortaolunanların uşaqlarının sağlamlıq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lastRenderedPageBreak/>
              <w:t>düşərgələrində istirahətinin təşkilinə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17834">
              <w:rPr>
                <w:sz w:val="28"/>
                <w:szCs w:val="28"/>
              </w:rPr>
              <w:t>320 000,0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sanatoriya-profilaktoriyalara yemək xərcləri, tibb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xidməti və ştatların saxlanılmasına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200 000,0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3.4.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Azərbaycan Həmkarlar İttifaqları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Konfederasiyasının idman cəmiyyətlərinə məxsus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idman qurğularının qismən saxlanılmasına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(işçilərin əməkhaqqının ödənilməsi)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2 460 000,0</w:t>
            </w:r>
          </w:p>
        </w:tc>
      </w:tr>
      <w:tr w:rsidR="00FB705A" w:rsidRPr="00DD47ED" w:rsidTr="001505CC">
        <w:trPr>
          <w:trHeight w:val="889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3.5.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Həmkarlar İttifaqlarının texniki və əməyin hüquqi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müfəttişliyinin, etimadlı həkimlərin,</w:t>
            </w:r>
            <w:r>
              <w:rPr>
                <w:sz w:val="28"/>
                <w:szCs w:val="28"/>
              </w:rPr>
              <w:t xml:space="preserve">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sağlamlaşdırma işi ilə məşğul olan təlimatçıların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saxlanılmasına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1 260 000,0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4.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 w:hanging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415A">
              <w:rPr>
                <w:sz w:val="28"/>
                <w:szCs w:val="28"/>
              </w:rPr>
              <w:t>Müvafiq icra hakimiyyəti orqanının aparatının və onun</w:t>
            </w:r>
            <w:r>
              <w:rPr>
                <w:sz w:val="28"/>
                <w:szCs w:val="28"/>
              </w:rPr>
              <w:t xml:space="preserve"> </w:t>
            </w:r>
            <w:r w:rsidRPr="0092415A">
              <w:rPr>
                <w:sz w:val="28"/>
                <w:szCs w:val="28"/>
              </w:rPr>
              <w:t xml:space="preserve"> yerli orqanlarının saxlanılması</w:t>
            </w:r>
            <w:r w:rsidRPr="00617834">
              <w:rPr>
                <w:sz w:val="28"/>
                <w:szCs w:val="28"/>
              </w:rPr>
              <w:t xml:space="preserve"> xərcləri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40 000 000,0</w:t>
            </w:r>
          </w:p>
        </w:tc>
      </w:tr>
      <w:tr w:rsidR="00FB705A" w:rsidRPr="00DD47ED" w:rsidTr="001505CC">
        <w:trPr>
          <w:trHeight w:val="529"/>
        </w:trPr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Beynəlxalq təşkilatlara üzvlük haqlarının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ödənilməsi xərcləri, cəmi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60 000,0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5.1.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Beynəlxalq Sosial Təminat Assosiasiyasına üzvlük</w:t>
            </w:r>
            <w:r>
              <w:rPr>
                <w:sz w:val="28"/>
                <w:szCs w:val="28"/>
              </w:rPr>
              <w:t xml:space="preserve">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haqqının ödənilməsi xərcləri 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5.2.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MDB dövlətlərinin Sosial Təminat Assosiasiyasına </w:t>
            </w:r>
          </w:p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üzvlük haqqının ödənilməsi xərcləri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30 000,0</w:t>
            </w:r>
          </w:p>
        </w:tc>
      </w:tr>
      <w:tr w:rsidR="00FB705A" w:rsidRPr="00DD47ED" w:rsidTr="001505CC">
        <w:tc>
          <w:tcPr>
            <w:tcW w:w="528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6.</w:t>
            </w:r>
          </w:p>
        </w:tc>
        <w:tc>
          <w:tcPr>
            <w:tcW w:w="3153" w:type="pct"/>
          </w:tcPr>
          <w:p w:rsidR="00FB705A" w:rsidRPr="00617834" w:rsidRDefault="00FB705A" w:rsidP="001505CC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Azərbaycan Respublikası Hökuməti ilə Beynəlxalq İnkişaf Assosiasiyası arasında 2004-cü il 23 sentyabr tarixdə imzalanmış və Azərbaycan Respublikası Prezidentinin 2004-cü il 11 noyabr tarixli 518 nömrəli Sərəncamı ilə təsdiq edilmiş "İnkişaf üçün Kredit Sazişi"nə əsasən "Pensiya və sosial təminat" layihəsi </w:t>
            </w: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üzrə kreditin qaytarılması xərcləri</w:t>
            </w:r>
          </w:p>
        </w:tc>
        <w:tc>
          <w:tcPr>
            <w:tcW w:w="1319" w:type="pct"/>
          </w:tcPr>
          <w:p w:rsidR="00FB705A" w:rsidRPr="00617834" w:rsidRDefault="00FB705A" w:rsidP="001505CC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1 600 000,0</w:t>
            </w:r>
          </w:p>
        </w:tc>
      </w:tr>
    </w:tbl>
    <w:p w:rsidR="00FB705A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</w:p>
    <w:p w:rsidR="00FB705A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</w:p>
    <w:p w:rsidR="00FB705A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</w:p>
    <w:p w:rsidR="00FB705A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D47ED">
        <w:rPr>
          <w:b/>
          <w:bCs/>
          <w:sz w:val="28"/>
          <w:szCs w:val="28"/>
        </w:rPr>
        <w:t>addə 4.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Borcların ödənişi</w:t>
      </w: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92415A" w:rsidRDefault="00FB705A" w:rsidP="00FB705A">
      <w:pPr>
        <w:ind w:right="-279" w:firstLine="708"/>
        <w:jc w:val="both"/>
        <w:rPr>
          <w:sz w:val="28"/>
          <w:szCs w:val="28"/>
        </w:rPr>
      </w:pPr>
      <w:r w:rsidRPr="00DD47ED">
        <w:rPr>
          <w:sz w:val="28"/>
          <w:szCs w:val="28"/>
        </w:rPr>
        <w:t xml:space="preserve">Sığortaedənlərin keçmiş Dövlət Məşğulluq və Əlillərin Sosial Müdafiə </w:t>
      </w:r>
      <w:r w:rsidRPr="00AE3816">
        <w:rPr>
          <w:sz w:val="28"/>
          <w:szCs w:val="28"/>
        </w:rPr>
        <w:t>fondlarına</w:t>
      </w:r>
      <w:r w:rsidRPr="00DD47ED">
        <w:rPr>
          <w:sz w:val="28"/>
          <w:szCs w:val="28"/>
        </w:rPr>
        <w:t xml:space="preserve"> ayırmalar üzrə qalan </w:t>
      </w:r>
      <w:r w:rsidRPr="0092415A">
        <w:rPr>
          <w:sz w:val="28"/>
          <w:szCs w:val="28"/>
        </w:rPr>
        <w:t>borcları müvafiq icra hakimiyyəti orqanına köçürülür.</w:t>
      </w: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5.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Qalıqlardan istifadə</w:t>
      </w:r>
    </w:p>
    <w:p w:rsidR="00FB705A" w:rsidRPr="00DD47ED" w:rsidRDefault="00FB705A" w:rsidP="00FB705A">
      <w:pPr>
        <w:ind w:right="-279"/>
        <w:jc w:val="both"/>
        <w:rPr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sz w:val="28"/>
          <w:szCs w:val="28"/>
        </w:rPr>
      </w:pPr>
      <w:r w:rsidRPr="0092415A">
        <w:rPr>
          <w:sz w:val="28"/>
          <w:szCs w:val="28"/>
        </w:rPr>
        <w:t>Müvafiq icra hakimiyyəti orqanının aparatının və yerli orqanlarının hesablarında ilin sonuna qalan vəsait növbəti ilin xərclərinin maliyyələşdirilməsinə</w:t>
      </w:r>
      <w:r w:rsidRPr="00DD47ED">
        <w:rPr>
          <w:sz w:val="28"/>
          <w:szCs w:val="28"/>
        </w:rPr>
        <w:t xml:space="preserve"> yönəldilir.</w:t>
      </w:r>
    </w:p>
    <w:p w:rsidR="00FB705A" w:rsidRPr="00097B06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8A5C0D" w:rsidRDefault="00FB705A" w:rsidP="00FB705A">
      <w:pPr>
        <w:ind w:left="2160" w:right="-279" w:hanging="1452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>Maddə 6.</w:t>
      </w:r>
      <w:r>
        <w:rPr>
          <w:b/>
          <w:bCs/>
          <w:sz w:val="28"/>
          <w:szCs w:val="28"/>
        </w:rPr>
        <w:tab/>
      </w:r>
      <w:r w:rsidRPr="008A5C0D">
        <w:rPr>
          <w:b/>
          <w:bCs/>
          <w:sz w:val="28"/>
          <w:szCs w:val="28"/>
        </w:rPr>
        <w:t>Büdcə təşkilatları üzrə sosial sığorta haqları üzrə daxilolmaların tənzimlənməsi</w:t>
      </w:r>
    </w:p>
    <w:p w:rsidR="00FB705A" w:rsidRPr="00097B06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jc w:val="both"/>
        <w:rPr>
          <w:sz w:val="28"/>
          <w:szCs w:val="28"/>
        </w:rPr>
      </w:pPr>
      <w:r w:rsidRPr="00DD47ED">
        <w:rPr>
          <w:sz w:val="28"/>
          <w:szCs w:val="28"/>
        </w:rPr>
        <w:t xml:space="preserve">Büdcə ili ərzində dövlət büdcəsindən maliyyələşən təşkilatlara nəzərdə tutulmuş məcburi dövlət sosial sığorta haqları üzrə </w:t>
      </w:r>
      <w:r w:rsidRPr="0092415A">
        <w:rPr>
          <w:sz w:val="28"/>
          <w:szCs w:val="28"/>
        </w:rPr>
        <w:t>vəsaitlər müvafiq icra hakimiyyəti orqanına tam məbləğdə daxil olmadıqda, nəzərdə tutulmuş və faktiki hesablanmış məcburi dövlət sosial sığorta haqları arasındakı fərq qədər dövlət büdcəsindən ayırmaların</w:t>
      </w:r>
      <w:r w:rsidRPr="00DD47ED">
        <w:rPr>
          <w:sz w:val="28"/>
          <w:szCs w:val="28"/>
        </w:rPr>
        <w:t xml:space="preserve"> (transfertin) məbləği artırılır, artıq daxil olduqda isə nəzərdə tutulmuş və faktiki hesablanmış məcburi dövlət sosial sığorta haqları arasındakı fərq qədər dövlət büdcəsindən ayırmaların (transfertin) məbləği azaldılır.</w:t>
      </w:r>
    </w:p>
    <w:p w:rsidR="00FB705A" w:rsidRPr="00097B06" w:rsidRDefault="00FB705A" w:rsidP="00FB705A">
      <w:pPr>
        <w:ind w:right="-279"/>
        <w:rPr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7.</w:t>
      </w:r>
      <w:r>
        <w:rPr>
          <w:b/>
          <w:bCs/>
          <w:sz w:val="28"/>
          <w:szCs w:val="28"/>
        </w:rPr>
        <w:tab/>
      </w:r>
      <w:r w:rsidRPr="00DD47ED">
        <w:rPr>
          <w:b/>
          <w:bCs/>
          <w:sz w:val="28"/>
          <w:szCs w:val="28"/>
        </w:rPr>
        <w:t>Qanunun qüvvəyə minməsi</w:t>
      </w:r>
    </w:p>
    <w:p w:rsidR="00FB705A" w:rsidRPr="00097B06" w:rsidRDefault="00FB705A" w:rsidP="00FB705A">
      <w:pPr>
        <w:ind w:right="-279"/>
        <w:rPr>
          <w:bCs/>
          <w:sz w:val="28"/>
          <w:szCs w:val="28"/>
        </w:rPr>
      </w:pPr>
    </w:p>
    <w:p w:rsidR="00FB705A" w:rsidRPr="00DD47ED" w:rsidRDefault="00FB705A" w:rsidP="00FB705A">
      <w:pPr>
        <w:ind w:right="-279" w:firstLine="708"/>
        <w:rPr>
          <w:sz w:val="28"/>
          <w:szCs w:val="28"/>
        </w:rPr>
      </w:pPr>
      <w:r w:rsidRPr="00DD47ED">
        <w:rPr>
          <w:sz w:val="28"/>
          <w:szCs w:val="28"/>
        </w:rPr>
        <w:t>Bu Qanun 201</w:t>
      </w:r>
      <w:r>
        <w:rPr>
          <w:sz w:val="28"/>
          <w:szCs w:val="28"/>
        </w:rPr>
        <w:t>7</w:t>
      </w:r>
      <w:r w:rsidRPr="00DD47ED">
        <w:rPr>
          <w:sz w:val="28"/>
          <w:szCs w:val="28"/>
        </w:rPr>
        <w:t>-c</w:t>
      </w:r>
      <w:r>
        <w:rPr>
          <w:sz w:val="28"/>
          <w:szCs w:val="28"/>
        </w:rPr>
        <w:t>i</w:t>
      </w:r>
      <w:r w:rsidRPr="00DD47ED">
        <w:rPr>
          <w:sz w:val="28"/>
          <w:szCs w:val="28"/>
        </w:rPr>
        <w:t xml:space="preserve"> il yanvarın 1-dən qüvvəyə minir.</w:t>
      </w: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Default="00FB705A" w:rsidP="00FB705A">
      <w:pPr>
        <w:ind w:left="4320" w:right="-279" w:firstLine="720"/>
        <w:jc w:val="center"/>
        <w:rPr>
          <w:b/>
          <w:bCs/>
          <w:sz w:val="28"/>
          <w:szCs w:val="28"/>
        </w:rPr>
      </w:pPr>
    </w:p>
    <w:p w:rsidR="00FB705A" w:rsidRDefault="00FB705A" w:rsidP="00FB705A">
      <w:pPr>
        <w:ind w:left="4320" w:right="-279" w:firstLine="720"/>
        <w:jc w:val="center"/>
        <w:rPr>
          <w:b/>
          <w:bCs/>
          <w:sz w:val="28"/>
          <w:szCs w:val="28"/>
        </w:rPr>
      </w:pPr>
    </w:p>
    <w:p w:rsidR="00FB705A" w:rsidRDefault="00FB705A" w:rsidP="00FB705A">
      <w:pPr>
        <w:tabs>
          <w:tab w:val="left" w:pos="6663"/>
        </w:tabs>
        <w:ind w:left="4320" w:right="-279" w:firstLine="720"/>
        <w:jc w:val="center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>İlham Əliyev</w:t>
      </w:r>
    </w:p>
    <w:p w:rsidR="00FB705A" w:rsidRPr="008A5C0D" w:rsidRDefault="00FB705A" w:rsidP="00FB705A">
      <w:pPr>
        <w:ind w:left="4320" w:right="-279" w:firstLine="720"/>
        <w:jc w:val="center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>Azərbaycan Respublikasının Prezidenti</w:t>
      </w:r>
    </w:p>
    <w:p w:rsidR="00FB705A" w:rsidRPr="00DA0B6B" w:rsidRDefault="00FB705A" w:rsidP="00FB705A">
      <w:pPr>
        <w:ind w:right="-279"/>
        <w:jc w:val="both"/>
        <w:rPr>
          <w:bCs/>
          <w:sz w:val="28"/>
          <w:szCs w:val="28"/>
        </w:rPr>
      </w:pPr>
    </w:p>
    <w:p w:rsidR="00FB705A" w:rsidRPr="00DA0B6B" w:rsidRDefault="00FB705A" w:rsidP="00FB705A">
      <w:pPr>
        <w:jc w:val="both"/>
        <w:rPr>
          <w:bCs/>
          <w:sz w:val="28"/>
          <w:szCs w:val="28"/>
        </w:rPr>
      </w:pPr>
    </w:p>
    <w:p w:rsidR="00FB705A" w:rsidRPr="008A5C0D" w:rsidRDefault="00FB705A" w:rsidP="00FB705A">
      <w:pPr>
        <w:jc w:val="both"/>
        <w:rPr>
          <w:sz w:val="28"/>
          <w:szCs w:val="28"/>
        </w:rPr>
      </w:pPr>
      <w:r w:rsidRPr="008A5C0D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16 dekabr</w:t>
      </w:r>
      <w:r w:rsidRPr="008A5C0D">
        <w:rPr>
          <w:sz w:val="28"/>
          <w:szCs w:val="28"/>
        </w:rPr>
        <w:t xml:space="preserve"> 201</w:t>
      </w:r>
      <w:r>
        <w:rPr>
          <w:sz w:val="28"/>
          <w:szCs w:val="28"/>
        </w:rPr>
        <w:t>6-cı</w:t>
      </w:r>
      <w:r w:rsidRPr="008A5C0D">
        <w:rPr>
          <w:sz w:val="28"/>
          <w:szCs w:val="28"/>
        </w:rPr>
        <w:t xml:space="preserve"> il</w:t>
      </w:r>
    </w:p>
    <w:p w:rsidR="00FB705A" w:rsidRPr="008A5C0D" w:rsidRDefault="00FB705A" w:rsidP="00FB705A">
      <w:pPr>
        <w:rPr>
          <w:b/>
          <w:bCs/>
          <w:sz w:val="28"/>
          <w:szCs w:val="28"/>
        </w:rPr>
      </w:pPr>
      <w:r w:rsidRPr="008A5C0D">
        <w:rPr>
          <w:sz w:val="28"/>
          <w:szCs w:val="28"/>
        </w:rPr>
        <w:t xml:space="preserve">№ </w:t>
      </w:r>
      <w:r>
        <w:rPr>
          <w:sz w:val="28"/>
          <w:szCs w:val="28"/>
        </w:rPr>
        <w:t>449</w:t>
      </w:r>
      <w:r w:rsidRPr="008A5C0D">
        <w:rPr>
          <w:sz w:val="28"/>
          <w:szCs w:val="28"/>
        </w:rPr>
        <w:t>-VQ</w:t>
      </w:r>
    </w:p>
    <w:p w:rsidR="00CA4C63" w:rsidRDefault="00CA4C63">
      <w:bookmarkStart w:id="0" w:name="_GoBack"/>
      <w:bookmarkEnd w:id="0"/>
    </w:p>
    <w:sectPr w:rsidR="00CA4C63" w:rsidSect="006454F0">
      <w:headerReference w:type="default" r:id="rId5"/>
      <w:pgSz w:w="12240" w:h="15840"/>
      <w:pgMar w:top="1134" w:right="1134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2" w:rsidRDefault="00FB70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33772" w:rsidRDefault="00FB7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5A"/>
    <w:rsid w:val="00CA4C63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3164</Words>
  <Characters>1805</Characters>
  <Application>Microsoft Office Word</Application>
  <DocSecurity>0</DocSecurity>
  <Lines>15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2017-10-17T08:27:00Z</dcterms:created>
  <dcterms:modified xsi:type="dcterms:W3CDTF">2017-10-17T08:27:00Z</dcterms:modified>
</cp:coreProperties>
</file>