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B4" w:rsidRDefault="00317CB4" w:rsidP="00317C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</w:p>
    <w:p w:rsidR="00317CB4" w:rsidRDefault="00317CB4" w:rsidP="00317C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</w:p>
    <w:p w:rsidR="00317CB4" w:rsidRDefault="00317CB4" w:rsidP="00317C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</w:p>
    <w:p w:rsidR="00317CB4" w:rsidRDefault="00317CB4" w:rsidP="00317CB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</w:p>
    <w:p w:rsidR="00317CB4" w:rsidRDefault="00317CB4" w:rsidP="00317C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</w:p>
    <w:p w:rsidR="00317CB4" w:rsidRDefault="00317CB4" w:rsidP="00317C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</w:p>
    <w:p w:rsidR="00317CB4" w:rsidRDefault="00317CB4" w:rsidP="00317C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>“Tarix və mədəniyyət abidələrinin qorunması haqqında” Azərbaycan Respublikasının Qanununda dəyişiklik edilməsi barədə</w:t>
      </w:r>
    </w:p>
    <w:p w:rsidR="00317CB4" w:rsidRDefault="00317CB4" w:rsidP="00317C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</w:p>
    <w:p w:rsidR="00317CB4" w:rsidRDefault="00317CB4" w:rsidP="00317C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  <w:r w:rsidRPr="00F339E4">
        <w:rPr>
          <w:rFonts w:ascii="Times New Roman" w:hAnsi="Times New Roman"/>
          <w:b/>
          <w:sz w:val="40"/>
          <w:szCs w:val="40"/>
          <w:lang w:eastAsia="ru-RU"/>
        </w:rPr>
        <w:t>AZƏRBAYCAN RESPUBLİKASININ QANUNU</w:t>
      </w:r>
    </w:p>
    <w:p w:rsidR="00317CB4" w:rsidRDefault="00317CB4" w:rsidP="00317CB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</w:p>
    <w:p w:rsidR="00317CB4" w:rsidRPr="00DF0FE5" w:rsidRDefault="00317CB4" w:rsidP="00317CB4">
      <w:pPr>
        <w:keepNext/>
        <w:keepLines/>
        <w:spacing w:after="0" w:line="240" w:lineRule="auto"/>
        <w:ind w:firstLine="560"/>
        <w:jc w:val="both"/>
        <w:outlineLvl w:val="1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Azərbaycan Respublikasının Milli Məclisi Azərbaycan Respublikası Konstitusiyasının 94-cü maddəsinin I hissəsinin 13-cü bəndini rəhbər tutaraq, “Tarix və mədəniyyət abidələrinin qorunması haqqında” Azərbaycan Respublikasının Qanununu “Reklam haqqında” Azərbaycan Respublikasının 2015-ci il 15 may tarixli 1281-IVQ nömrəli Qanununa </w:t>
      </w:r>
      <w:proofErr w:type="spellStart"/>
      <w:r>
        <w:rPr>
          <w:rFonts w:ascii="Times New Roman" w:hAnsi="Times New Roman" w:cs="Times New Roman"/>
          <w:sz w:val="28"/>
          <w:szCs w:val="28"/>
          <w:lang w:eastAsia="az-Latn-AZ"/>
        </w:rPr>
        <w:t>uyğunlaşdırmaq</w:t>
      </w:r>
      <w:proofErr w:type="spellEnd"/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məqsədi ilə</w:t>
      </w:r>
      <w:r>
        <w:rPr>
          <w:rFonts w:ascii="Times New Roman" w:hAnsi="Times New Roman" w:cs="Times New Roman"/>
          <w:b/>
          <w:bCs/>
          <w:sz w:val="28"/>
          <w:szCs w:val="28"/>
          <w:lang w:eastAsia="az-Latn-AZ"/>
        </w:rPr>
        <w:t xml:space="preserve"> qərara alır:</w:t>
      </w:r>
    </w:p>
    <w:p w:rsidR="00317CB4" w:rsidRDefault="00317CB4" w:rsidP="00317CB4">
      <w:pPr>
        <w:spacing w:before="60" w:after="6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  <w:lang w:eastAsia="az-Latn-AZ"/>
        </w:rPr>
      </w:pPr>
      <w:r>
        <w:rPr>
          <w:rFonts w:ascii="Times New Roman" w:hAnsi="Times New Roman" w:cs="Times New Roman"/>
          <w:sz w:val="28"/>
          <w:szCs w:val="28"/>
          <w:lang w:eastAsia="az-Latn-AZ"/>
        </w:rPr>
        <w:t>“Tarix və mədəniyyət abidələrinin qorunması haqqında” Azərbaycan Respublikası Qanununun (Azərbaycan Respublikasının Qanunvericilik Toplusu, 1998,</w:t>
      </w:r>
      <w:r>
        <w:rPr>
          <w:rFonts w:ascii="Times New Roman" w:hAnsi="Times New Roman" w:cs="Times New Roman"/>
          <w:smallCaps/>
          <w:spacing w:val="-10"/>
          <w:sz w:val="28"/>
          <w:szCs w:val="28"/>
          <w:lang w:eastAsia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6, maddə 365; 2005,</w:t>
      </w:r>
      <w:r>
        <w:rPr>
          <w:rFonts w:ascii="Times New Roman" w:hAnsi="Times New Roman" w:cs="Times New Roman"/>
          <w:smallCaps/>
          <w:spacing w:val="-10"/>
          <w:sz w:val="28"/>
          <w:szCs w:val="28"/>
          <w:lang w:eastAsia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mallCaps/>
          <w:spacing w:val="-10"/>
          <w:sz w:val="28"/>
          <w:szCs w:val="28"/>
          <w:lang w:eastAsia="az-Latn-AZ"/>
        </w:rPr>
        <w:t xml:space="preserve"> 4,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maddə 278; 2007,</w:t>
      </w:r>
      <w:r>
        <w:rPr>
          <w:rFonts w:ascii="Times New Roman" w:hAnsi="Times New Roman" w:cs="Times New Roman"/>
          <w:smallCaps/>
          <w:spacing w:val="-10"/>
          <w:sz w:val="28"/>
          <w:szCs w:val="28"/>
          <w:lang w:eastAsia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11, maddə 1072; 2010,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3, maddə 168; 2012,</w:t>
      </w:r>
      <w:r>
        <w:rPr>
          <w:rFonts w:ascii="Times New Roman" w:hAnsi="Times New Roman" w:cs="Times New Roman"/>
          <w:smallCaps/>
          <w:spacing w:val="-10"/>
          <w:sz w:val="28"/>
          <w:szCs w:val="28"/>
          <w:lang w:eastAsia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11, maddə 1057; 2013,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11, maddə 1313; 2015,</w:t>
      </w:r>
      <w:r>
        <w:rPr>
          <w:rFonts w:ascii="Times New Roman" w:hAnsi="Times New Roman" w:cs="Times New Roman"/>
          <w:smallCaps/>
          <w:spacing w:val="-10"/>
          <w:sz w:val="28"/>
          <w:szCs w:val="28"/>
          <w:lang w:eastAsia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11, maddə 1279) 1-ci maddəsinə aşağıdakı məzmunda yeddinci hissə əlavə edilsin:</w:t>
      </w:r>
    </w:p>
    <w:p w:rsidR="00317CB4" w:rsidRDefault="00317CB4" w:rsidP="00317CB4">
      <w:pPr>
        <w:spacing w:before="60" w:after="0" w:line="240" w:lineRule="auto"/>
        <w:ind w:left="20" w:right="2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“Tarix və mədəniyyət abidələrinin ərazilərində və onların mühafizə zonasında, memarlıq abidələrinin (binalarının) dam hissəsində reklam </w:t>
      </w:r>
      <w:proofErr w:type="spellStart"/>
      <w:r>
        <w:rPr>
          <w:rFonts w:ascii="Times New Roman" w:hAnsi="Times New Roman" w:cs="Times New Roman"/>
          <w:sz w:val="28"/>
          <w:szCs w:val="28"/>
          <w:lang w:eastAsia="az-Latn-AZ"/>
        </w:rPr>
        <w:t>daşıyıcıları</w:t>
      </w:r>
      <w:proofErr w:type="spellEnd"/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“Reklam haqqında” Azərbaycan Respublikasının Qanununa uyğun olaraq, müvafiq icra hakimiyyəti orqanının razılığı ilə yalnız reklam-informasiya təşkilatlarının nəzdindəki bədii şuraların rəyi əsasında və həmin binaların dayanıqlığına mənfi təsir göstərməmək şərti ilə </w:t>
      </w:r>
      <w:proofErr w:type="spellStart"/>
      <w:r>
        <w:rPr>
          <w:rFonts w:ascii="Times New Roman" w:hAnsi="Times New Roman" w:cs="Times New Roman"/>
          <w:sz w:val="28"/>
          <w:szCs w:val="28"/>
          <w:lang w:eastAsia="az-Latn-AZ"/>
        </w:rPr>
        <w:t>yerləşdirilə</w:t>
      </w:r>
      <w:proofErr w:type="spellEnd"/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bilər.”.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17CB4" w:rsidRDefault="00317CB4" w:rsidP="00317CB4">
      <w:pPr>
        <w:spacing w:before="60" w:after="0" w:line="240" w:lineRule="auto"/>
        <w:ind w:left="20" w:right="2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CB4" w:rsidRDefault="00317CB4" w:rsidP="00317CB4">
      <w:pPr>
        <w:spacing w:before="60" w:after="0" w:line="240" w:lineRule="auto"/>
        <w:ind w:left="20" w:right="2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</w:p>
    <w:p w:rsidR="00317CB4" w:rsidRDefault="00317CB4" w:rsidP="00317CB4">
      <w:pPr>
        <w:spacing w:before="60" w:after="0" w:line="240" w:lineRule="auto"/>
        <w:ind w:left="20" w:right="2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CB4" w:rsidRDefault="00317CB4" w:rsidP="00317CB4">
      <w:pPr>
        <w:spacing w:before="60" w:after="0" w:line="240" w:lineRule="auto"/>
        <w:ind w:left="20" w:right="2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CB4" w:rsidRDefault="00317CB4" w:rsidP="00317CB4">
      <w:pPr>
        <w:spacing w:before="60" w:after="0" w:line="240" w:lineRule="auto"/>
        <w:ind w:left="20" w:right="2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CB4" w:rsidRDefault="00317CB4" w:rsidP="00317CB4">
      <w:pPr>
        <w:spacing w:before="60"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  <w:lang w:eastAsia="az-Latn-A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İlham Əliyev</w:t>
      </w:r>
    </w:p>
    <w:p w:rsidR="00317CB4" w:rsidRDefault="00317CB4" w:rsidP="00317CB4">
      <w:pPr>
        <w:spacing w:after="0" w:line="240" w:lineRule="auto"/>
        <w:ind w:right="-4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Azərbaycan Respublikasının Prezidenti</w:t>
      </w:r>
    </w:p>
    <w:p w:rsidR="00317CB4" w:rsidRDefault="00317CB4" w:rsidP="00317CB4">
      <w:pPr>
        <w:spacing w:after="0" w:line="240" w:lineRule="auto"/>
        <w:ind w:right="-4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CB4" w:rsidRDefault="00317CB4" w:rsidP="00317CB4">
      <w:pPr>
        <w:pStyle w:val="BodyText"/>
        <w:spacing w:after="0"/>
        <w:ind w:right="-9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30 dekabr 2016-cı il</w:t>
      </w:r>
    </w:p>
    <w:p w:rsidR="00317CB4" w:rsidRDefault="00317CB4" w:rsidP="00317CB4">
      <w:pPr>
        <w:pStyle w:val="BodyText"/>
        <w:spacing w:after="0"/>
        <w:ind w:right="-9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478-VQD</w:t>
      </w:r>
    </w:p>
    <w:p w:rsidR="00C27A0B" w:rsidRDefault="00C27A0B">
      <w:bookmarkStart w:id="0" w:name="_GoBack"/>
      <w:bookmarkEnd w:id="0"/>
    </w:p>
    <w:sectPr w:rsidR="00C27A0B" w:rsidSect="007937B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B4"/>
    <w:rsid w:val="00317CB4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B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317CB4"/>
    <w:rPr>
      <w:rFonts w:ascii="Calibri" w:hAnsi="Calibri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17CB4"/>
    <w:pPr>
      <w:spacing w:after="120" w:line="240" w:lineRule="auto"/>
    </w:pPr>
    <w:rPr>
      <w:rFonts w:eastAsiaTheme="minorHAnsi" w:cstheme="minorBidi"/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uiPriority w:val="99"/>
    <w:semiHidden/>
    <w:rsid w:val="00317CB4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B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317CB4"/>
    <w:rPr>
      <w:rFonts w:ascii="Calibri" w:hAnsi="Calibri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17CB4"/>
    <w:pPr>
      <w:spacing w:after="120" w:line="240" w:lineRule="auto"/>
    </w:pPr>
    <w:rPr>
      <w:rFonts w:eastAsiaTheme="minorHAnsi" w:cstheme="minorBidi"/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uiPriority w:val="99"/>
    <w:semiHidden/>
    <w:rsid w:val="00317CB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604</Characters>
  <Application>Microsoft Office Word</Application>
  <DocSecurity>0</DocSecurity>
  <Lines>5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2017-03-06T06:29:00Z</dcterms:created>
  <dcterms:modified xsi:type="dcterms:W3CDTF">2017-03-06T06:29:00Z</dcterms:modified>
</cp:coreProperties>
</file>